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2C" w:rsidRPr="00124900" w:rsidRDefault="00CF5334" w:rsidP="00124900">
      <w:pPr>
        <w:pStyle w:val="Titulek"/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</w:t>
      </w:r>
      <w:r w:rsidR="00914AE2" w:rsidRPr="00124900">
        <w:rPr>
          <w:b/>
          <w:sz w:val="32"/>
          <w:szCs w:val="32"/>
        </w:rPr>
        <w:t>I.</w:t>
      </w:r>
    </w:p>
    <w:p w:rsidR="00E3132C" w:rsidRPr="00777807" w:rsidRDefault="00AE191A" w:rsidP="00124900">
      <w:pPr>
        <w:pStyle w:val="Titulek"/>
        <w:spacing w:before="1080"/>
        <w:jc w:val="center"/>
        <w:rPr>
          <w:b/>
          <w:sz w:val="40"/>
          <w:szCs w:val="40"/>
        </w:rPr>
      </w:pPr>
      <w:r w:rsidRPr="00777807">
        <w:rPr>
          <w:b/>
          <w:sz w:val="40"/>
          <w:szCs w:val="40"/>
        </w:rPr>
        <w:t>Český báňský úřad</w:t>
      </w:r>
    </w:p>
    <w:p w:rsidR="00E3132C" w:rsidRDefault="00E3132C" w:rsidP="00124900">
      <w:pPr>
        <w:pStyle w:val="Titulek"/>
        <w:spacing w:before="1800"/>
        <w:jc w:val="center"/>
        <w:rPr>
          <w:b/>
          <w:sz w:val="52"/>
          <w:szCs w:val="52"/>
        </w:rPr>
      </w:pPr>
      <w:r w:rsidRPr="00124900">
        <w:rPr>
          <w:b/>
          <w:sz w:val="52"/>
          <w:szCs w:val="52"/>
        </w:rPr>
        <w:t>Zpráva</w:t>
      </w:r>
      <w:r w:rsidR="00FF46B4" w:rsidRPr="00124900">
        <w:rPr>
          <w:b/>
          <w:sz w:val="52"/>
          <w:szCs w:val="52"/>
        </w:rPr>
        <w:t xml:space="preserve"> </w:t>
      </w:r>
      <w:r w:rsidRPr="00124900">
        <w:rPr>
          <w:b/>
          <w:sz w:val="52"/>
          <w:szCs w:val="52"/>
        </w:rPr>
        <w:t xml:space="preserve">o stavu bezpečnosti v hornictví </w:t>
      </w:r>
      <w:r w:rsidR="00124900">
        <w:rPr>
          <w:b/>
          <w:sz w:val="52"/>
          <w:szCs w:val="52"/>
        </w:rPr>
        <w:br/>
      </w:r>
      <w:r w:rsidR="007B72FB" w:rsidRPr="00124900">
        <w:rPr>
          <w:b/>
          <w:sz w:val="52"/>
          <w:szCs w:val="52"/>
        </w:rPr>
        <w:t>za rok 20</w:t>
      </w:r>
      <w:r w:rsidR="0023651A" w:rsidRPr="00124900">
        <w:rPr>
          <w:b/>
          <w:sz w:val="52"/>
          <w:szCs w:val="52"/>
        </w:rPr>
        <w:t>1</w:t>
      </w:r>
      <w:r w:rsidR="00B3492B" w:rsidRPr="00124900">
        <w:rPr>
          <w:b/>
          <w:sz w:val="52"/>
          <w:szCs w:val="52"/>
        </w:rPr>
        <w:t>4</w:t>
      </w:r>
    </w:p>
    <w:p w:rsidR="00777807" w:rsidRPr="00777807" w:rsidRDefault="00777807" w:rsidP="00777807"/>
    <w:p w:rsidR="00691D09" w:rsidRPr="00777807" w:rsidRDefault="00777807" w:rsidP="008E104E">
      <w:pPr>
        <w:pStyle w:val="Titulek"/>
        <w:spacing w:before="6120"/>
        <w:ind w:firstLine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1906270</wp:posOffset>
            </wp:positionH>
            <wp:positionV relativeFrom="paragraph">
              <wp:posOffset>160655</wp:posOffset>
            </wp:positionV>
            <wp:extent cx="2689225" cy="2531110"/>
            <wp:effectExtent l="19050" t="0" r="0" b="0"/>
            <wp:wrapNone/>
            <wp:docPr id="3" name="obrázek 2" descr="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90000" contrast="-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5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F98" w:rsidRPr="00777807">
        <w:rPr>
          <w:b/>
          <w:sz w:val="36"/>
          <w:szCs w:val="36"/>
        </w:rPr>
        <w:t>červe</w:t>
      </w:r>
      <w:r w:rsidR="009A461D" w:rsidRPr="00777807">
        <w:rPr>
          <w:b/>
          <w:sz w:val="36"/>
          <w:szCs w:val="36"/>
        </w:rPr>
        <w:t>n</w:t>
      </w:r>
      <w:r w:rsidR="00914AE2" w:rsidRPr="00777807">
        <w:rPr>
          <w:b/>
          <w:sz w:val="36"/>
          <w:szCs w:val="36"/>
        </w:rPr>
        <w:t xml:space="preserve"> 201</w:t>
      </w:r>
      <w:r w:rsidR="00B3492B" w:rsidRPr="00777807">
        <w:rPr>
          <w:b/>
          <w:sz w:val="36"/>
          <w:szCs w:val="36"/>
        </w:rPr>
        <w:t>5</w:t>
      </w:r>
    </w:p>
    <w:p w:rsidR="00691D09" w:rsidRDefault="00691D09" w:rsidP="0028418A">
      <w:r>
        <w:br w:type="page"/>
      </w:r>
    </w:p>
    <w:p w:rsidR="0028418A" w:rsidRDefault="0028418A" w:rsidP="0028418A">
      <w:pPr>
        <w:pStyle w:val="Podtitul"/>
      </w:pPr>
      <w:r w:rsidRPr="0028418A">
        <w:lastRenderedPageBreak/>
        <w:t>OBSAH</w:t>
      </w:r>
    </w:p>
    <w:p w:rsidR="00C04FEC" w:rsidRDefault="00537D08">
      <w:pPr>
        <w:pStyle w:val="Obsah1"/>
        <w:tabs>
          <w:tab w:val="left" w:pos="66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124900">
        <w:instrText xml:space="preserve"> TOC \o "1-3" \u </w:instrText>
      </w:r>
      <w:r>
        <w:fldChar w:fldCharType="separate"/>
      </w:r>
      <w:r w:rsidR="00C04FEC">
        <w:rPr>
          <w:noProof/>
        </w:rPr>
        <w:t>1</w:t>
      </w:r>
      <w:r w:rsidR="00C04FEC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C04FEC">
        <w:rPr>
          <w:noProof/>
        </w:rPr>
        <w:t>ÚVOD</w:t>
      </w:r>
      <w:r w:rsidR="00C04FEC">
        <w:rPr>
          <w:noProof/>
        </w:rPr>
        <w:tab/>
      </w:r>
      <w:r>
        <w:rPr>
          <w:noProof/>
        </w:rPr>
        <w:fldChar w:fldCharType="begin"/>
      </w:r>
      <w:r w:rsidR="00C04FEC">
        <w:rPr>
          <w:noProof/>
        </w:rPr>
        <w:instrText xml:space="preserve"> PAGEREF _Toc422823289 \h </w:instrText>
      </w:r>
      <w:r>
        <w:rPr>
          <w:noProof/>
        </w:rPr>
      </w:r>
      <w:r>
        <w:rPr>
          <w:noProof/>
        </w:rPr>
        <w:fldChar w:fldCharType="separate"/>
      </w:r>
      <w:r w:rsidR="00C04FEC">
        <w:rPr>
          <w:noProof/>
        </w:rPr>
        <w:t>3</w:t>
      </w:r>
      <w:r>
        <w:rPr>
          <w:noProof/>
        </w:rPr>
        <w:fldChar w:fldCharType="end"/>
      </w:r>
    </w:p>
    <w:p w:rsidR="00C04FEC" w:rsidRDefault="00C04FEC">
      <w:pPr>
        <w:pStyle w:val="Obsah1"/>
        <w:tabs>
          <w:tab w:val="left" w:pos="66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STAV ÚRAZOVOSTI A NEHODOVOSTI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_Toc422823290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4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Celková úrazovost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_Toc422823291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4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Smrtelná úrazovost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_Toc422823292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7</w:t>
      </w:r>
      <w:r w:rsidR="00537D08">
        <w:rPr>
          <w:noProof/>
        </w:rPr>
        <w:fldChar w:fldCharType="end"/>
      </w:r>
    </w:p>
    <w:p w:rsidR="00C04FEC" w:rsidRDefault="00C04FEC">
      <w:pPr>
        <w:pStyle w:val="Obsah3"/>
        <w:tabs>
          <w:tab w:val="left" w:pos="154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Přehled smrtelných úrazů v roce 2014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_Toc422823293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8</w:t>
      </w:r>
      <w:r w:rsidR="00537D08">
        <w:rPr>
          <w:noProof/>
        </w:rPr>
        <w:fldChar w:fldCharType="end"/>
      </w:r>
    </w:p>
    <w:p w:rsidR="00C04FEC" w:rsidRDefault="00C04FEC">
      <w:pPr>
        <w:pStyle w:val="Obsah3"/>
        <w:tabs>
          <w:tab w:val="left" w:pos="154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Vývoj počtu smrtelných úrazů podle činností od roku 2004 do roku 2014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_Toc422823294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9</w:t>
      </w:r>
      <w:r w:rsidR="00537D08">
        <w:rPr>
          <w:noProof/>
        </w:rPr>
        <w:fldChar w:fldCharType="end"/>
      </w:r>
    </w:p>
    <w:p w:rsidR="00C04FEC" w:rsidRDefault="00C04FEC">
      <w:pPr>
        <w:pStyle w:val="Obsah3"/>
        <w:tabs>
          <w:tab w:val="left" w:pos="154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Přehled smrtelných pracovních úrazů podle zdrojů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_Toc422823295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11</w:t>
      </w:r>
      <w:r w:rsidR="00537D08">
        <w:rPr>
          <w:noProof/>
        </w:rPr>
        <w:fldChar w:fldCharType="end"/>
      </w:r>
    </w:p>
    <w:p w:rsidR="00C04FEC" w:rsidRDefault="00C04FEC">
      <w:pPr>
        <w:pStyle w:val="Obsah3"/>
        <w:tabs>
          <w:tab w:val="left" w:pos="154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Přehled smrtelných úrazů podle příčin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_Toc422823296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13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Závažné události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_Toc422823297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14</w:t>
      </w:r>
      <w:r w:rsidR="00537D08">
        <w:rPr>
          <w:noProof/>
        </w:rPr>
        <w:fldChar w:fldCharType="end"/>
      </w:r>
    </w:p>
    <w:p w:rsidR="00C04FEC" w:rsidRDefault="00C04FEC">
      <w:pPr>
        <w:pStyle w:val="Obsah1"/>
        <w:tabs>
          <w:tab w:val="left" w:pos="66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ČINNOST SBS PŘI VÝKONU VRCHNÍHO DOZORU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_Toc422823298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15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Kontrolní a inspekční činnost ČBÚ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_Toc422823299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16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Kontrolní a inspekční činnost OBÚ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_Toc422823300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17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Správní činnost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_Toc422823301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19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Legislativní činnost ČBÚ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_Toc422823302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21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Výzkum a vývoj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_Toc422823303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22</w:t>
      </w:r>
      <w:r w:rsidR="00537D08">
        <w:rPr>
          <w:noProof/>
        </w:rPr>
        <w:fldChar w:fldCharType="end"/>
      </w:r>
    </w:p>
    <w:p w:rsidR="00C04FEC" w:rsidRDefault="00C04FEC">
      <w:pPr>
        <w:pStyle w:val="Obsah1"/>
        <w:tabs>
          <w:tab w:val="left" w:pos="66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ZÁSADNÍ RIZIKA V HORNICTVÍ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_Toc422823304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23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Důlní otřesy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_Toc422823305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23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Nahromadění a zapálení metanu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_Toc422823306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23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Důlní požáry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_Toc422823307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24</w:t>
      </w:r>
      <w:r w:rsidR="00537D08">
        <w:rPr>
          <w:noProof/>
        </w:rPr>
        <w:fldChar w:fldCharType="end"/>
      </w:r>
    </w:p>
    <w:p w:rsidR="00C04FEC" w:rsidRDefault="00C04FEC">
      <w:pPr>
        <w:pStyle w:val="Obsah2"/>
        <w:tabs>
          <w:tab w:val="left" w:pos="110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Provoz technických zařízení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_Toc422823308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24</w:t>
      </w:r>
      <w:r w:rsidR="00537D08">
        <w:rPr>
          <w:noProof/>
        </w:rPr>
        <w:fldChar w:fldCharType="end"/>
      </w:r>
    </w:p>
    <w:p w:rsidR="00C04FEC" w:rsidRDefault="00C04FEC">
      <w:pPr>
        <w:pStyle w:val="Obsah1"/>
        <w:tabs>
          <w:tab w:val="left" w:pos="66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SOUTĚŽ ZA BEZPEČNOST V HORNICTVÍ – ZLATÝ PERMON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_Toc422823309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25</w:t>
      </w:r>
      <w:r w:rsidR="00537D08">
        <w:rPr>
          <w:noProof/>
        </w:rPr>
        <w:fldChar w:fldCharType="end"/>
      </w:r>
    </w:p>
    <w:p w:rsidR="00C04FEC" w:rsidRDefault="00C04FEC">
      <w:pPr>
        <w:pStyle w:val="Obsah1"/>
        <w:tabs>
          <w:tab w:val="left" w:pos="660"/>
          <w:tab w:val="right" w:leader="dot" w:pos="977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ZÁVĚR</w:t>
      </w:r>
      <w:r>
        <w:rPr>
          <w:noProof/>
        </w:rPr>
        <w:tab/>
      </w:r>
      <w:r w:rsidR="00537D08">
        <w:rPr>
          <w:noProof/>
        </w:rPr>
        <w:fldChar w:fldCharType="begin"/>
      </w:r>
      <w:r>
        <w:rPr>
          <w:noProof/>
        </w:rPr>
        <w:instrText xml:space="preserve"> PAGEREF _Toc422823310 \h </w:instrText>
      </w:r>
      <w:r w:rsidR="00537D08">
        <w:rPr>
          <w:noProof/>
        </w:rPr>
      </w:r>
      <w:r w:rsidR="00537D08">
        <w:rPr>
          <w:noProof/>
        </w:rPr>
        <w:fldChar w:fldCharType="separate"/>
      </w:r>
      <w:r>
        <w:rPr>
          <w:noProof/>
        </w:rPr>
        <w:t>26</w:t>
      </w:r>
      <w:r w:rsidR="00537D08">
        <w:rPr>
          <w:noProof/>
        </w:rPr>
        <w:fldChar w:fldCharType="end"/>
      </w:r>
    </w:p>
    <w:p w:rsidR="00691D09" w:rsidRDefault="00537D08" w:rsidP="0028418A">
      <w:r>
        <w:fldChar w:fldCharType="end"/>
      </w:r>
      <w:r w:rsidR="00691D09">
        <w:br w:type="page"/>
      </w:r>
    </w:p>
    <w:p w:rsidR="007E35BE" w:rsidRPr="0028418A" w:rsidRDefault="00077369" w:rsidP="00655FE0">
      <w:pPr>
        <w:pStyle w:val="Nadpis1"/>
      </w:pPr>
      <w:bookmarkStart w:id="1" w:name="_Toc422823289"/>
      <w:r w:rsidRPr="0028418A">
        <w:lastRenderedPageBreak/>
        <w:t>ÚVOD</w:t>
      </w:r>
      <w:bookmarkEnd w:id="1"/>
    </w:p>
    <w:p w:rsidR="00844D80" w:rsidRPr="0028418A" w:rsidRDefault="00844D80" w:rsidP="0028418A">
      <w:r w:rsidRPr="0028418A">
        <w:t xml:space="preserve">Usnesením vlády České republiky č. </w:t>
      </w:r>
      <w:r w:rsidR="00ED7F2B" w:rsidRPr="0028418A">
        <w:t>1</w:t>
      </w:r>
      <w:r w:rsidR="00622EA8" w:rsidRPr="0028418A">
        <w:t>058</w:t>
      </w:r>
      <w:r w:rsidR="004C7728" w:rsidRPr="0028418A">
        <w:t xml:space="preserve"> ze dne </w:t>
      </w:r>
      <w:r w:rsidR="00ED7F2B" w:rsidRPr="0028418A">
        <w:t>1</w:t>
      </w:r>
      <w:r w:rsidR="00622EA8" w:rsidRPr="0028418A">
        <w:t>5</w:t>
      </w:r>
      <w:r w:rsidR="004C7728" w:rsidRPr="0028418A">
        <w:t xml:space="preserve">. </w:t>
      </w:r>
      <w:r w:rsidR="00622EA8" w:rsidRPr="0028418A">
        <w:t>prosince</w:t>
      </w:r>
      <w:r w:rsidR="00D84CBB" w:rsidRPr="0028418A">
        <w:t xml:space="preserve"> 201</w:t>
      </w:r>
      <w:r w:rsidR="00047F39" w:rsidRPr="0028418A">
        <w:t>4</w:t>
      </w:r>
      <w:r w:rsidR="00D84CBB" w:rsidRPr="0028418A">
        <w:t xml:space="preserve"> </w:t>
      </w:r>
      <w:r w:rsidR="004C7728" w:rsidRPr="0028418A">
        <w:t xml:space="preserve">o </w:t>
      </w:r>
      <w:r w:rsidR="00D84CBB" w:rsidRPr="0028418A">
        <w:t>Plán</w:t>
      </w:r>
      <w:r w:rsidR="000F1A84" w:rsidRPr="0028418A">
        <w:t>u</w:t>
      </w:r>
      <w:r w:rsidR="00D84CBB" w:rsidRPr="0028418A">
        <w:t xml:space="preserve"> nelegislativních úkolů vlády na </w:t>
      </w:r>
      <w:r w:rsidR="00ED7F2B" w:rsidRPr="0028418A">
        <w:t xml:space="preserve">1. </w:t>
      </w:r>
      <w:r w:rsidR="00294977" w:rsidRPr="0028418A">
        <w:t>p</w:t>
      </w:r>
      <w:r w:rsidR="00ED7F2B" w:rsidRPr="0028418A">
        <w:t>ololetí 201</w:t>
      </w:r>
      <w:r w:rsidR="00047F39" w:rsidRPr="0028418A">
        <w:t>5</w:t>
      </w:r>
      <w:r w:rsidR="00ED7F2B" w:rsidRPr="0028418A">
        <w:t xml:space="preserve"> a o </w:t>
      </w:r>
      <w:r w:rsidR="004C7728" w:rsidRPr="0028418A">
        <w:t>Přehledu námětů pro Plán nelegislativních úkolů vlády</w:t>
      </w:r>
      <w:r w:rsidR="00D84CBB" w:rsidRPr="0028418A">
        <w:t xml:space="preserve"> na </w:t>
      </w:r>
      <w:r w:rsidR="00ED7F2B" w:rsidRPr="0028418A">
        <w:t>2</w:t>
      </w:r>
      <w:r w:rsidR="004C7728" w:rsidRPr="0028418A">
        <w:t>. </w:t>
      </w:r>
      <w:r w:rsidR="00D049E3" w:rsidRPr="0028418A">
        <w:t>p</w:t>
      </w:r>
      <w:r w:rsidR="00D84CBB" w:rsidRPr="0028418A">
        <w:t>ololetí 201</w:t>
      </w:r>
      <w:r w:rsidR="00047F39" w:rsidRPr="0028418A">
        <w:t>5</w:t>
      </w:r>
      <w:r w:rsidR="00D84CBB" w:rsidRPr="0028418A">
        <w:t>, bylo uloženo předsedovi Českého báňského úřadu zpracovat a předložit vládě České republiky „Zprávu o stavu bezpečnosti v hornictví za rok 201</w:t>
      </w:r>
      <w:r w:rsidR="00855AB5" w:rsidRPr="0028418A">
        <w:t>4</w:t>
      </w:r>
      <w:r w:rsidR="00D84CBB" w:rsidRPr="0028418A">
        <w:t xml:space="preserve">“. Termín předložení zprávy k informaci vládě byl stanoven </w:t>
      </w:r>
      <w:r w:rsidR="009535A8" w:rsidRPr="0028418A">
        <w:t>do</w:t>
      </w:r>
      <w:r w:rsidR="00D84CBB" w:rsidRPr="0028418A">
        <w:t xml:space="preserve"> 30. 6. 201</w:t>
      </w:r>
      <w:r w:rsidR="00834775" w:rsidRPr="0028418A">
        <w:t>5</w:t>
      </w:r>
      <w:r w:rsidR="00D84CBB" w:rsidRPr="0028418A">
        <w:t>.</w:t>
      </w:r>
    </w:p>
    <w:p w:rsidR="005B1DC3" w:rsidRPr="0028418A" w:rsidRDefault="007B5AF3" w:rsidP="0028418A">
      <w:r w:rsidRPr="0028418A">
        <w:t>Zpráva</w:t>
      </w:r>
      <w:r w:rsidR="00671D35" w:rsidRPr="0028418A">
        <w:t xml:space="preserve"> o stavu bezpečnosti v hornictví (dále jen „Zpráva“)</w:t>
      </w:r>
      <w:r w:rsidR="0028418A">
        <w:t xml:space="preserve"> </w:t>
      </w:r>
      <w:r w:rsidRPr="0028418A">
        <w:t>je zpracována Českým báňským úřadem (dále jen „ČBÚ“) ve smyslu § 40 odst. 6 písm. c) zákona č. 61/1988 Sb.</w:t>
      </w:r>
      <w:r w:rsidR="00733F93" w:rsidRPr="0028418A">
        <w:t>, o hornické činnosti, výbušninách a o státní báňské správě, ve znění pozdějších předpisů (dále jen „zákon č. 61/1988 Sb.“)</w:t>
      </w:r>
      <w:r w:rsidRPr="0028418A">
        <w:t xml:space="preserve"> a navazuje na hodnocení stavu bezpečnosti v</w:t>
      </w:r>
      <w:r w:rsidR="00733F93" w:rsidRPr="0028418A">
        <w:t> </w:t>
      </w:r>
      <w:r w:rsidRPr="0028418A">
        <w:t xml:space="preserve">hornictví v roce </w:t>
      </w:r>
      <w:r w:rsidR="00A83C8D" w:rsidRPr="0028418A">
        <w:t>2013</w:t>
      </w:r>
      <w:r w:rsidRPr="0028418A">
        <w:t>. Výsledky roku 201</w:t>
      </w:r>
      <w:r w:rsidR="004718D8" w:rsidRPr="0028418A">
        <w:t>4</w:t>
      </w:r>
      <w:r w:rsidRPr="0028418A">
        <w:t xml:space="preserve"> jsou porovnány s výsledky dosaženými za období </w:t>
      </w:r>
      <w:r w:rsidR="004718D8" w:rsidRPr="0028418A">
        <w:t>od roku 200</w:t>
      </w:r>
      <w:r w:rsidR="00671D35" w:rsidRPr="0028418A">
        <w:t>4</w:t>
      </w:r>
      <w:r w:rsidRPr="0028418A">
        <w:t xml:space="preserve">. </w:t>
      </w:r>
    </w:p>
    <w:p w:rsidR="004718D8" w:rsidRPr="0028418A" w:rsidRDefault="007E35BE" w:rsidP="0028418A">
      <w:r w:rsidRPr="0028418A">
        <w:t>Zpráva hodnotí stav bezpečnosti práce a</w:t>
      </w:r>
      <w:r w:rsidR="003B7268" w:rsidRPr="0028418A">
        <w:t> </w:t>
      </w:r>
      <w:r w:rsidRPr="0028418A">
        <w:t>bezpečnosti provozu v organizacích, které v</w:t>
      </w:r>
      <w:r w:rsidR="00733F93" w:rsidRPr="0028418A">
        <w:t xml:space="preserve">e smyslu zákona č. 61/1988 Sb., </w:t>
      </w:r>
      <w:r w:rsidR="007D0D3C" w:rsidRPr="0028418A">
        <w:t>vykonávají</w:t>
      </w:r>
      <w:r w:rsidRPr="0028418A">
        <w:t xml:space="preserve"> hornickou činnost nebo činnost prováděnou hornickým způsobem</w:t>
      </w:r>
      <w:r w:rsidR="008448B8" w:rsidRPr="0028418A">
        <w:t xml:space="preserve"> a</w:t>
      </w:r>
      <w:r w:rsidR="00704541" w:rsidRPr="0028418A">
        <w:t> </w:t>
      </w:r>
      <w:r w:rsidR="008448B8" w:rsidRPr="0028418A">
        <w:t>v</w:t>
      </w:r>
      <w:r w:rsidR="003B7268" w:rsidRPr="0028418A">
        <w:t> </w:t>
      </w:r>
      <w:r w:rsidRPr="0028418A">
        <w:t xml:space="preserve">organizacích, které </w:t>
      </w:r>
      <w:r w:rsidR="00C60726" w:rsidRPr="0028418A">
        <w:t xml:space="preserve">nakládají </w:t>
      </w:r>
      <w:r w:rsidR="00B55321" w:rsidRPr="0028418A">
        <w:t>s</w:t>
      </w:r>
      <w:r w:rsidR="008448B8" w:rsidRPr="0028418A">
        <w:t> </w:t>
      </w:r>
      <w:r w:rsidRPr="0028418A">
        <w:t>výbušnin</w:t>
      </w:r>
      <w:r w:rsidR="00B55321" w:rsidRPr="0028418A">
        <w:t>ami</w:t>
      </w:r>
      <w:r w:rsidR="008448B8" w:rsidRPr="0028418A">
        <w:t>. Zpráva stručně hodnotí i výkon vrchního dozoru</w:t>
      </w:r>
      <w:r w:rsidR="00D86ECD" w:rsidRPr="0028418A">
        <w:t xml:space="preserve"> nad zajišťováním bezpečného stavu podzemních objektů.</w:t>
      </w:r>
    </w:p>
    <w:p w:rsidR="00B3492B" w:rsidRPr="0028418A" w:rsidRDefault="00B3492B" w:rsidP="0028418A">
      <w:r w:rsidRPr="0028418A">
        <w:t>Hornictví představuje činnost</w:t>
      </w:r>
      <w:r w:rsidR="005715A3" w:rsidRPr="0028418A">
        <w:t xml:space="preserve"> s vysokou mírou rizik</w:t>
      </w:r>
      <w:r w:rsidRPr="0028418A">
        <w:t xml:space="preserve">, která zabezpečuje zdroje surovin </w:t>
      </w:r>
      <w:r w:rsidR="005715A3" w:rsidRPr="0028418A">
        <w:t xml:space="preserve">nezbytné </w:t>
      </w:r>
      <w:r w:rsidRPr="0028418A">
        <w:t>pro rozvoj lidské společnosti</w:t>
      </w:r>
      <w:r w:rsidR="005715A3" w:rsidRPr="0028418A">
        <w:t>. Jde o činnost, která</w:t>
      </w:r>
      <w:r w:rsidRPr="0028418A">
        <w:t xml:space="preserve"> je spojena s vyšší pravděpodobností </w:t>
      </w:r>
      <w:r w:rsidR="005715A3" w:rsidRPr="0028418A">
        <w:t xml:space="preserve">vzniku </w:t>
      </w:r>
      <w:r w:rsidRPr="0028418A">
        <w:t xml:space="preserve">újmy na zdraví </w:t>
      </w:r>
      <w:r w:rsidR="00FC795F" w:rsidRPr="0028418A">
        <w:t>z důvodu těžkých a mnohdy obtížně předvídatelných podmínek</w:t>
      </w:r>
      <w:r w:rsidR="00A242EC" w:rsidRPr="0028418A">
        <w:t xml:space="preserve">, </w:t>
      </w:r>
      <w:r w:rsidR="005715A3" w:rsidRPr="0028418A">
        <w:t>kter</w:t>
      </w:r>
      <w:r w:rsidR="00A14C50" w:rsidRPr="0028418A">
        <w:t>é</w:t>
      </w:r>
      <w:r w:rsidRPr="0028418A">
        <w:t xml:space="preserve"> se nevyskytují v ostatních </w:t>
      </w:r>
      <w:r w:rsidR="005715A3" w:rsidRPr="0028418A">
        <w:t xml:space="preserve">oborech </w:t>
      </w:r>
      <w:r w:rsidRPr="0028418A">
        <w:t>lidských činnost</w:t>
      </w:r>
      <w:r w:rsidR="005715A3" w:rsidRPr="0028418A">
        <w:t>í</w:t>
      </w:r>
      <w:r w:rsidRPr="0028418A">
        <w:t xml:space="preserve">. Přes trvalý a intenzívní výkon vrchního dozoru orgánů státní báňské správy </w:t>
      </w:r>
      <w:r w:rsidR="005715A3" w:rsidRPr="0028418A">
        <w:t>i</w:t>
      </w:r>
      <w:r w:rsidRPr="0028418A">
        <w:t xml:space="preserve"> </w:t>
      </w:r>
      <w:r w:rsidR="005715A3" w:rsidRPr="0028418A">
        <w:t xml:space="preserve">zvýšené úsilí báňských organizací a </w:t>
      </w:r>
      <w:r w:rsidRPr="0028418A">
        <w:t xml:space="preserve">přes neustálý rozvoj techniky, </w:t>
      </w:r>
      <w:r w:rsidR="004A320E">
        <w:t>jsou</w:t>
      </w:r>
      <w:r w:rsidRPr="0028418A">
        <w:t xml:space="preserve"> hornická činnost, činnost prováděná hornickým způsobem a nakládání s výbušninami každým rokem provázen</w:t>
      </w:r>
      <w:r w:rsidR="001D4DF4">
        <w:t>y</w:t>
      </w:r>
      <w:r w:rsidRPr="0028418A">
        <w:t xml:space="preserve"> pro</w:t>
      </w:r>
      <w:r w:rsidR="00FC795F" w:rsidRPr="0028418A">
        <w:t>vozními</w:t>
      </w:r>
      <w:r w:rsidRPr="0028418A">
        <w:t xml:space="preserve"> nehod</w:t>
      </w:r>
      <w:r w:rsidR="001D4DF4">
        <w:t xml:space="preserve">ami, </w:t>
      </w:r>
      <w:r w:rsidR="00FC795F" w:rsidRPr="0028418A">
        <w:t>haváriemi</w:t>
      </w:r>
      <w:r w:rsidR="001D4DF4">
        <w:t xml:space="preserve"> a</w:t>
      </w:r>
      <w:r w:rsidR="00FC795F" w:rsidRPr="0028418A">
        <w:t xml:space="preserve"> pracovními</w:t>
      </w:r>
      <w:r w:rsidRPr="0028418A">
        <w:t xml:space="preserve"> úra</w:t>
      </w:r>
      <w:r w:rsidR="00FC795F" w:rsidRPr="0028418A">
        <w:t>zy</w:t>
      </w:r>
      <w:r w:rsidR="00A83C8D" w:rsidRPr="0028418A">
        <w:t xml:space="preserve">, </w:t>
      </w:r>
      <w:r w:rsidR="005715A3" w:rsidRPr="0028418A">
        <w:t>v </w:t>
      </w:r>
      <w:r w:rsidR="00FC795F" w:rsidRPr="0028418A">
        <w:t>nejhorších</w:t>
      </w:r>
      <w:r w:rsidR="005715A3" w:rsidRPr="0028418A">
        <w:t xml:space="preserve"> případech </w:t>
      </w:r>
      <w:r w:rsidR="00A83C8D" w:rsidRPr="0028418A">
        <w:t xml:space="preserve">spojených </w:t>
      </w:r>
      <w:r w:rsidR="005715A3" w:rsidRPr="0028418A">
        <w:t>s</w:t>
      </w:r>
      <w:r w:rsidRPr="0028418A">
        <w:t xml:space="preserve">e smrtí postiženého. </w:t>
      </w:r>
    </w:p>
    <w:p w:rsidR="00B3492B" w:rsidRPr="0028418A" w:rsidRDefault="00FC795F" w:rsidP="0028418A">
      <w:r w:rsidRPr="0028418A">
        <w:t>Obdobné zkušenosti existují i v zahraničí</w:t>
      </w:r>
      <w:r w:rsidR="00E82C1C" w:rsidRPr="0028418A">
        <w:t xml:space="preserve">. </w:t>
      </w:r>
      <w:r w:rsidRPr="0028418A">
        <w:t>Jako příklad nejtěžších havárií loňského roku</w:t>
      </w:r>
      <w:r w:rsidR="006404D5" w:rsidRPr="0028418A">
        <w:t>,</w:t>
      </w:r>
      <w:r w:rsidRPr="0028418A">
        <w:t xml:space="preserve"> mimo hranice naší země</w:t>
      </w:r>
      <w:r w:rsidR="006404D5" w:rsidRPr="0028418A">
        <w:t>,</w:t>
      </w:r>
      <w:r w:rsidRPr="0028418A">
        <w:t xml:space="preserve"> lze uvést zapálení a výbuch metanu v polském uhelném dole </w:t>
      </w:r>
      <w:r w:rsidR="00B3492B" w:rsidRPr="0028418A">
        <w:t>„</w:t>
      </w:r>
      <w:proofErr w:type="spellStart"/>
      <w:r w:rsidR="00B3492B" w:rsidRPr="0028418A">
        <w:t>Mysłowice-Wesoła</w:t>
      </w:r>
      <w:proofErr w:type="spellEnd"/>
      <w:r w:rsidR="00B3492B" w:rsidRPr="0028418A">
        <w:t xml:space="preserve">”, </w:t>
      </w:r>
      <w:r w:rsidRPr="0028418A">
        <w:t>při kterém zahynulo</w:t>
      </w:r>
      <w:r w:rsidR="00B3492B" w:rsidRPr="0028418A">
        <w:t xml:space="preserve"> 5 horníků</w:t>
      </w:r>
      <w:r w:rsidR="00E82C1C" w:rsidRPr="0028418A">
        <w:t xml:space="preserve"> a</w:t>
      </w:r>
      <w:r w:rsidR="00B3492B" w:rsidRPr="0028418A">
        <w:t xml:space="preserve"> 15 </w:t>
      </w:r>
      <w:r w:rsidRPr="0028418A">
        <w:t xml:space="preserve">jich bylo těžce zraněno. </w:t>
      </w:r>
      <w:r w:rsidR="00E82C1C" w:rsidRPr="0028418A">
        <w:t>Havárií s</w:t>
      </w:r>
      <w:r w:rsidRPr="0028418A">
        <w:t> vůbec nejhoršími důsledky byl </w:t>
      </w:r>
      <w:r w:rsidR="001D4DF4">
        <w:t xml:space="preserve">v loňském roce </w:t>
      </w:r>
      <w:r w:rsidRPr="0028418A">
        <w:t>výbuch</w:t>
      </w:r>
      <w:r w:rsidR="00B3492B" w:rsidRPr="0028418A">
        <w:t xml:space="preserve"> na tureckém uhelném dole v </w:t>
      </w:r>
      <w:proofErr w:type="spellStart"/>
      <w:r w:rsidR="00B3492B" w:rsidRPr="0028418A">
        <w:t>Somě</w:t>
      </w:r>
      <w:proofErr w:type="spellEnd"/>
      <w:r w:rsidR="00B3492B" w:rsidRPr="0028418A">
        <w:t xml:space="preserve">, kde zahynulo 301 horníků. </w:t>
      </w:r>
    </w:p>
    <w:p w:rsidR="00495217" w:rsidRPr="0028418A" w:rsidRDefault="00D62769" w:rsidP="0028418A">
      <w:r w:rsidRPr="0028418A">
        <w:t xml:space="preserve">Zjišťování a </w:t>
      </w:r>
      <w:r w:rsidR="00EF41F4" w:rsidRPr="0028418A">
        <w:t>stanovení</w:t>
      </w:r>
      <w:r w:rsidR="00B3492B" w:rsidRPr="0028418A">
        <w:t xml:space="preserve"> příčin mimořádných událostí</w:t>
      </w:r>
      <w:r w:rsidR="00E82C1C" w:rsidRPr="0028418A">
        <w:t xml:space="preserve"> a důsledný dozor nad bezpečností práce </w:t>
      </w:r>
      <w:r w:rsidR="00B454F0">
        <w:br/>
      </w:r>
      <w:r w:rsidR="00E82C1C" w:rsidRPr="0028418A">
        <w:t xml:space="preserve">a provozu </w:t>
      </w:r>
      <w:r w:rsidR="00EF41F4" w:rsidRPr="0028418A">
        <w:t xml:space="preserve">je v tomto </w:t>
      </w:r>
      <w:r w:rsidR="00C648E9" w:rsidRPr="0028418A">
        <w:t xml:space="preserve">náročném oboru </w:t>
      </w:r>
      <w:r w:rsidR="00B3492B" w:rsidRPr="0028418A">
        <w:t>jednou z cest k</w:t>
      </w:r>
      <w:r w:rsidR="00EF41F4" w:rsidRPr="0028418A">
        <w:t> předcházení havárií</w:t>
      </w:r>
      <w:r w:rsidR="00B3492B" w:rsidRPr="0028418A">
        <w:t xml:space="preserve">. Proto orgány státní báňské správy </w:t>
      </w:r>
      <w:r w:rsidR="00E82C1C" w:rsidRPr="0028418A">
        <w:t xml:space="preserve">i vedení báňských organizací </w:t>
      </w:r>
      <w:r w:rsidR="00B3492B" w:rsidRPr="0028418A">
        <w:t xml:space="preserve">věnují zvýšenou pozornost analýze příčin a následků všech mimořádných událostí, včetně stanovení opatření proti jejich </w:t>
      </w:r>
      <w:r w:rsidR="00C648E9" w:rsidRPr="0028418A">
        <w:t xml:space="preserve">možnému </w:t>
      </w:r>
      <w:r w:rsidR="00B3492B" w:rsidRPr="0028418A">
        <w:t xml:space="preserve">opakování. </w:t>
      </w:r>
      <w:r w:rsidR="00EF41F4" w:rsidRPr="0028418A">
        <w:t>Provádění dozoru ze strany státu je pak jedním z důležitých prvků objektivity v tomto společnosti prospěšném procesu.</w:t>
      </w:r>
    </w:p>
    <w:p w:rsidR="00B0511E" w:rsidRDefault="00B0511E" w:rsidP="0028418A">
      <w:r>
        <w:br w:type="page"/>
      </w:r>
    </w:p>
    <w:p w:rsidR="007E35BE" w:rsidRDefault="007E35BE" w:rsidP="0028418A">
      <w:pPr>
        <w:pStyle w:val="Nadpis1"/>
      </w:pPr>
      <w:bookmarkStart w:id="2" w:name="_Toc422823290"/>
      <w:r w:rsidRPr="004403E9">
        <w:lastRenderedPageBreak/>
        <w:t>STAV ÚRAZOVOSTI A NEHODOVOSTI</w:t>
      </w:r>
      <w:bookmarkEnd w:id="2"/>
    </w:p>
    <w:p w:rsidR="00E50634" w:rsidRPr="006203DD" w:rsidRDefault="00B535E5" w:rsidP="006203DD">
      <w:pPr>
        <w:pStyle w:val="Nadpis2"/>
      </w:pPr>
      <w:bookmarkStart w:id="3" w:name="_Toc422823291"/>
      <w:r w:rsidRPr="006203DD">
        <w:t>Celková úrazovost</w:t>
      </w:r>
      <w:bookmarkEnd w:id="3"/>
    </w:p>
    <w:p w:rsidR="00670384" w:rsidRPr="00E50634" w:rsidRDefault="00E82C1C" w:rsidP="0028418A">
      <w:r>
        <w:t>Z</w:t>
      </w:r>
      <w:r w:rsidR="00B535E5" w:rsidRPr="0079333F">
        <w:t xml:space="preserve">drojem souhrnných informací </w:t>
      </w:r>
      <w:r w:rsidR="001D4DF4">
        <w:t>o vývoji úrazovosti</w:t>
      </w:r>
      <w:r w:rsidR="00E22778">
        <w:t xml:space="preserve"> </w:t>
      </w:r>
      <w:r w:rsidR="00F54B85">
        <w:t xml:space="preserve">jsou </w:t>
      </w:r>
      <w:r w:rsidR="00B535E5" w:rsidRPr="0079333F">
        <w:t>pravidelná měsíční hlášení obvodních báňských úřadů</w:t>
      </w:r>
      <w:r w:rsidR="0004799A" w:rsidRPr="0079333F">
        <w:t xml:space="preserve"> (dále jen „OBÚ“)</w:t>
      </w:r>
      <w:r w:rsidR="00B535E5" w:rsidRPr="0079333F">
        <w:t xml:space="preserve">. </w:t>
      </w:r>
      <w:r w:rsidR="00F54B85">
        <w:t>H</w:t>
      </w:r>
      <w:r w:rsidR="00733F93">
        <w:t>lášení</w:t>
      </w:r>
      <w:r w:rsidR="00B535E5" w:rsidRPr="0079333F">
        <w:t xml:space="preserve"> o</w:t>
      </w:r>
      <w:r w:rsidR="00733F93">
        <w:t> </w:t>
      </w:r>
      <w:r w:rsidR="00B535E5" w:rsidRPr="0079333F">
        <w:t>úrazech zasíla</w:t>
      </w:r>
      <w:r w:rsidR="00F54B85">
        <w:t>jí</w:t>
      </w:r>
      <w:r w:rsidR="00B535E5" w:rsidRPr="0079333F">
        <w:t xml:space="preserve"> </w:t>
      </w:r>
      <w:r w:rsidR="00CD378A" w:rsidRPr="0079333F">
        <w:t>dozorovan</w:t>
      </w:r>
      <w:r w:rsidR="00F54B85">
        <w:t>é</w:t>
      </w:r>
      <w:r w:rsidR="00CD378A" w:rsidRPr="0079333F">
        <w:t xml:space="preserve"> </w:t>
      </w:r>
      <w:r w:rsidR="00B535E5" w:rsidRPr="0079333F">
        <w:t xml:space="preserve">organizace příslušnému </w:t>
      </w:r>
      <w:r w:rsidR="0004799A" w:rsidRPr="0079333F">
        <w:t>OBÚ</w:t>
      </w:r>
      <w:r w:rsidR="00B535E5" w:rsidRPr="0079333F">
        <w:t xml:space="preserve"> </w:t>
      </w:r>
      <w:r w:rsidR="00733F93">
        <w:t>dle ustanovení § 6 odst. 3 písm. b) a e) zákona č. 61/1988 Sb.</w:t>
      </w:r>
      <w:r w:rsidR="00F54B85">
        <w:t xml:space="preserve"> Příslušným OBÚ jsou dále posílány </w:t>
      </w:r>
      <w:r w:rsidR="00733F93">
        <w:t xml:space="preserve">záznamy o úrazech </w:t>
      </w:r>
      <w:r w:rsidR="00F54B85">
        <w:t>podle</w:t>
      </w:r>
      <w:r w:rsidR="002D3AEF">
        <w:t> </w:t>
      </w:r>
      <w:r w:rsidR="00B535E5" w:rsidRPr="0079333F">
        <w:t>nařízení vlády č.</w:t>
      </w:r>
      <w:r w:rsidR="003B7268">
        <w:t> </w:t>
      </w:r>
      <w:r w:rsidR="00A73F23">
        <w:t>201/2010</w:t>
      </w:r>
      <w:r w:rsidR="00B535E5" w:rsidRPr="0079333F">
        <w:t xml:space="preserve"> Sb., kterým se stanoví způsob evidence</w:t>
      </w:r>
      <w:r w:rsidR="00A73F23">
        <w:t xml:space="preserve"> úrazů</w:t>
      </w:r>
      <w:r w:rsidR="00B535E5" w:rsidRPr="0079333F">
        <w:t>, hláš</w:t>
      </w:r>
      <w:r w:rsidR="00A73F23">
        <w:t>ení a zasílání záznamu o úrazu</w:t>
      </w:r>
      <w:r w:rsidR="002D3AEF">
        <w:t xml:space="preserve"> (dále jen „</w:t>
      </w:r>
      <w:r w:rsidR="00C872BF">
        <w:t>NV</w:t>
      </w:r>
      <w:r w:rsidR="002D3AEF">
        <w:t xml:space="preserve"> č. 201</w:t>
      </w:r>
      <w:r w:rsidR="002D3AEF" w:rsidRPr="0079333F">
        <w:t>/20</w:t>
      </w:r>
      <w:r w:rsidR="002D3AEF">
        <w:t>10</w:t>
      </w:r>
      <w:r w:rsidR="002D3AEF" w:rsidRPr="0079333F">
        <w:t xml:space="preserve"> Sb.“)</w:t>
      </w:r>
      <w:r w:rsidR="00A73F23">
        <w:t xml:space="preserve">. </w:t>
      </w:r>
    </w:p>
    <w:p w:rsidR="005B1DC3" w:rsidRPr="00495217" w:rsidRDefault="001D4DF4" w:rsidP="0028418A">
      <w:r>
        <w:t>V roce 2014 došlo k 604 pracovním úrazům, což je nejnižší počet úrazů za posledních deset let</w:t>
      </w:r>
      <w:r w:rsidR="00F54B85">
        <w:t xml:space="preserve"> </w:t>
      </w:r>
      <w:r w:rsidR="00B535E5" w:rsidRPr="00495217">
        <w:t>(</w:t>
      </w:r>
      <w:r w:rsidR="00631C53" w:rsidRPr="00495217">
        <w:t xml:space="preserve">viz graf </w:t>
      </w:r>
      <w:r w:rsidR="00F54B85">
        <w:t>č. 1</w:t>
      </w:r>
      <w:r w:rsidR="00E708A3" w:rsidRPr="00495217">
        <w:t>)</w:t>
      </w:r>
      <w:r w:rsidR="00B535E5" w:rsidRPr="00495217">
        <w:t xml:space="preserve">. </w:t>
      </w:r>
      <w:r>
        <w:t>Přesto při srovnání s rokem 2013 spíše než o zlepšení lze hovořit o stagnaci příznivého stavu, který je odrazem zvyšující se úrovně bezpečnosti práce v dozorovaných organizacích</w:t>
      </w:r>
      <w:r w:rsidR="008626C1">
        <w:t>.</w:t>
      </w:r>
      <w:r>
        <w:t xml:space="preserve"> Svůj podíl na tom má i neustávající důraz státní báňské správy při výkonu dozoru. Z grafu č. 2 je, přes pokles počtu úrazů, patrný mírný nárůst úrazové četnosti na 1000 zaměstnanců způsobený mírným snížením počtu pracovníků v dozorovaných činnostech v roce 2014.</w:t>
      </w:r>
    </w:p>
    <w:p w:rsidR="002C3C4B" w:rsidRPr="0028418A" w:rsidRDefault="00E708A3" w:rsidP="0028418A">
      <w:pPr>
        <w:ind w:left="1134" w:hanging="1134"/>
        <w:jc w:val="left"/>
        <w:rPr>
          <w:rStyle w:val="Nzevknihy"/>
        </w:rPr>
      </w:pPr>
      <w:r w:rsidRPr="0028418A">
        <w:rPr>
          <w:rStyle w:val="Nzevknihy"/>
        </w:rPr>
        <w:t xml:space="preserve">Graf č. </w:t>
      </w:r>
      <w:r w:rsidR="00631C53" w:rsidRPr="0028418A">
        <w:rPr>
          <w:rStyle w:val="Nzevknihy"/>
        </w:rPr>
        <w:t>1</w:t>
      </w:r>
      <w:r w:rsidRPr="0028418A">
        <w:rPr>
          <w:rStyle w:val="Nzevknihy"/>
        </w:rPr>
        <w:t xml:space="preserve"> – </w:t>
      </w:r>
      <w:r w:rsidR="0028418A" w:rsidRPr="0028418A">
        <w:rPr>
          <w:rStyle w:val="Nzevknihy"/>
        </w:rPr>
        <w:t>V</w:t>
      </w:r>
      <w:r w:rsidRPr="0028418A">
        <w:rPr>
          <w:rStyle w:val="Nzevknihy"/>
        </w:rPr>
        <w:t xml:space="preserve">ývoj počtu pracovních úrazů od roku </w:t>
      </w:r>
      <w:r w:rsidR="005B48F6" w:rsidRPr="0028418A">
        <w:rPr>
          <w:rStyle w:val="Nzevknihy"/>
        </w:rPr>
        <w:t>2004</w:t>
      </w:r>
      <w:r w:rsidR="001C6DF0" w:rsidRPr="0028418A">
        <w:rPr>
          <w:rStyle w:val="Nzevknihy"/>
        </w:rPr>
        <w:t xml:space="preserve"> do roku 201</w:t>
      </w:r>
      <w:r w:rsidR="00855AB5" w:rsidRPr="0028418A">
        <w:rPr>
          <w:rStyle w:val="Nzevknihy"/>
        </w:rPr>
        <w:t>4</w:t>
      </w:r>
    </w:p>
    <w:p w:rsidR="00DD77CF" w:rsidRDefault="00DD77CF" w:rsidP="0028418A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10300" cy="2209800"/>
            <wp:effectExtent l="19050" t="0" r="1905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55548" w:rsidRPr="0028418A" w:rsidRDefault="00DB6C5D" w:rsidP="0028418A">
      <w:pPr>
        <w:ind w:left="1134" w:hanging="1134"/>
        <w:jc w:val="left"/>
        <w:rPr>
          <w:rStyle w:val="Nzevknihy"/>
        </w:rPr>
      </w:pPr>
      <w:r w:rsidRPr="0028418A">
        <w:rPr>
          <w:rStyle w:val="Nzevknihy"/>
        </w:rPr>
        <w:t xml:space="preserve">Graf č. 2 – </w:t>
      </w:r>
      <w:r w:rsidR="0028418A" w:rsidRPr="0028418A">
        <w:rPr>
          <w:rStyle w:val="Nzevknihy"/>
        </w:rPr>
        <w:t>V</w:t>
      </w:r>
      <w:r w:rsidR="008626C1" w:rsidRPr="0028418A">
        <w:rPr>
          <w:rStyle w:val="Nzevknihy"/>
        </w:rPr>
        <w:t>ývoj počtu</w:t>
      </w:r>
      <w:r w:rsidR="00055548" w:rsidRPr="0028418A">
        <w:rPr>
          <w:rStyle w:val="Nzevknihy"/>
        </w:rPr>
        <w:t xml:space="preserve"> pracovních úrazů vztažených na </w:t>
      </w:r>
      <w:proofErr w:type="gramStart"/>
      <w:r w:rsidR="00055548" w:rsidRPr="0028418A">
        <w:rPr>
          <w:rStyle w:val="Nzevknihy"/>
        </w:rPr>
        <w:t>1000</w:t>
      </w:r>
      <w:r w:rsidR="0028418A" w:rsidRPr="0028418A">
        <w:rPr>
          <w:rStyle w:val="Nzevknihy"/>
        </w:rPr>
        <w:t xml:space="preserve">  </w:t>
      </w:r>
      <w:r w:rsidR="00055548" w:rsidRPr="0028418A">
        <w:rPr>
          <w:rStyle w:val="Nzevknihy"/>
        </w:rPr>
        <w:t>zaměstnan</w:t>
      </w:r>
      <w:r w:rsidRPr="0028418A">
        <w:rPr>
          <w:rStyle w:val="Nzevknihy"/>
        </w:rPr>
        <w:t>ců</w:t>
      </w:r>
      <w:proofErr w:type="gramEnd"/>
      <w:r w:rsidRPr="0028418A">
        <w:rPr>
          <w:rStyle w:val="Nzevknihy"/>
        </w:rPr>
        <w:t xml:space="preserve"> při těžbě nerostů</w:t>
      </w:r>
    </w:p>
    <w:p w:rsidR="00DD77CF" w:rsidRDefault="00055548" w:rsidP="0028418A">
      <w:pPr>
        <w:ind w:firstLine="0"/>
        <w:jc w:val="center"/>
      </w:pPr>
      <w:r>
        <w:rPr>
          <w:noProof/>
        </w:rPr>
        <w:drawing>
          <wp:inline distT="0" distB="0" distL="0" distR="0">
            <wp:extent cx="6210935" cy="2476500"/>
            <wp:effectExtent l="19050" t="0" r="18415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1004" w:rsidRPr="00495217" w:rsidRDefault="008626C1" w:rsidP="0028418A">
      <w:r>
        <w:lastRenderedPageBreak/>
        <w:t xml:space="preserve">Nejrizikovějšími z dozorovaných </w:t>
      </w:r>
      <w:r w:rsidR="00C648E9">
        <w:t xml:space="preserve">činností </w:t>
      </w:r>
      <w:r w:rsidR="0006072D">
        <w:t>jsou</w:t>
      </w:r>
      <w:r w:rsidR="00350078">
        <w:t xml:space="preserve"> hlubinná těžba černého uhlí, povrchové dobývání hnědého uhlí a povrchové dobývání nerudních surovin. </w:t>
      </w:r>
      <w:r w:rsidR="00731004" w:rsidRPr="00495217">
        <w:t>Rozdělení výskytu úrazů v roce 201</w:t>
      </w:r>
      <w:r w:rsidR="004C4548" w:rsidRPr="00495217">
        <w:t>4</w:t>
      </w:r>
      <w:r w:rsidR="00731004" w:rsidRPr="00495217">
        <w:t xml:space="preserve"> dle skupin činností ukazuje graf č. </w:t>
      </w:r>
      <w:r w:rsidR="008157AE">
        <w:t>3</w:t>
      </w:r>
      <w:r w:rsidR="0006072D">
        <w:t xml:space="preserve">. </w:t>
      </w:r>
      <w:r w:rsidR="00731004" w:rsidRPr="00495217">
        <w:t>Z </w:t>
      </w:r>
      <w:r w:rsidR="0006072D">
        <w:t>něj</w:t>
      </w:r>
      <w:r w:rsidR="00731004" w:rsidRPr="00495217">
        <w:t xml:space="preserve"> je patrné, že i v roce 201</w:t>
      </w:r>
      <w:r w:rsidR="004C4548" w:rsidRPr="00495217">
        <w:t>4</w:t>
      </w:r>
      <w:r w:rsidR="00731004" w:rsidRPr="00495217">
        <w:t xml:space="preserve"> bylo zaregistrováno nejvíce pracovních úrazů při hlubinné těžbě černého uhlí (</w:t>
      </w:r>
      <w:r w:rsidR="004C4548" w:rsidRPr="00495217">
        <w:t>3</w:t>
      </w:r>
      <w:r w:rsidR="00971ABA">
        <w:t>7</w:t>
      </w:r>
      <w:r w:rsidR="004C4548" w:rsidRPr="00495217">
        <w:t>,</w:t>
      </w:r>
      <w:r w:rsidR="00971ABA">
        <w:t>7</w:t>
      </w:r>
      <w:r w:rsidR="00731004" w:rsidRPr="00495217">
        <w:t>% ze všech r</w:t>
      </w:r>
      <w:r w:rsidR="004C4548" w:rsidRPr="00495217">
        <w:t>egistrovaných úrazů, v roce 2013</w:t>
      </w:r>
      <w:r w:rsidR="00731004" w:rsidRPr="00495217">
        <w:t xml:space="preserve"> to bylo </w:t>
      </w:r>
      <w:r w:rsidR="004C4548" w:rsidRPr="00495217">
        <w:t xml:space="preserve">38,8 </w:t>
      </w:r>
      <w:r w:rsidR="00731004" w:rsidRPr="00495217">
        <w:t xml:space="preserve">%). Pořadí dle skupin činností je dlouhodobě neměnné. </w:t>
      </w:r>
    </w:p>
    <w:p w:rsidR="00EE3A0F" w:rsidRPr="0028418A" w:rsidRDefault="00631C53" w:rsidP="00655FE0">
      <w:pPr>
        <w:ind w:left="1134" w:hanging="1134"/>
        <w:jc w:val="left"/>
        <w:rPr>
          <w:rStyle w:val="Nzevknihy"/>
        </w:rPr>
      </w:pPr>
      <w:r w:rsidRPr="0028418A">
        <w:rPr>
          <w:rStyle w:val="Nzevknihy"/>
        </w:rPr>
        <w:t xml:space="preserve">Graf č. </w:t>
      </w:r>
      <w:r w:rsidR="00B23A4B" w:rsidRPr="0028418A">
        <w:rPr>
          <w:rStyle w:val="Nzevknihy"/>
        </w:rPr>
        <w:t>3</w:t>
      </w:r>
      <w:r w:rsidR="00ED77F1" w:rsidRPr="0028418A">
        <w:rPr>
          <w:rStyle w:val="Nzevknihy"/>
        </w:rPr>
        <w:t xml:space="preserve"> – </w:t>
      </w:r>
      <w:r w:rsidR="00655FE0">
        <w:rPr>
          <w:rStyle w:val="Nzevknihy"/>
        </w:rPr>
        <w:t>R</w:t>
      </w:r>
      <w:r w:rsidR="00ED77F1" w:rsidRPr="0028418A">
        <w:rPr>
          <w:rStyle w:val="Nzevknihy"/>
        </w:rPr>
        <w:t>ozdělení pracovních úrazů v roce 20</w:t>
      </w:r>
      <w:r w:rsidR="0023651A" w:rsidRPr="0028418A">
        <w:rPr>
          <w:rStyle w:val="Nzevknihy"/>
        </w:rPr>
        <w:t>1</w:t>
      </w:r>
      <w:r w:rsidR="00293702" w:rsidRPr="0028418A">
        <w:rPr>
          <w:rStyle w:val="Nzevknihy"/>
        </w:rPr>
        <w:t>4</w:t>
      </w:r>
      <w:r w:rsidR="00ED77F1" w:rsidRPr="0028418A">
        <w:rPr>
          <w:rStyle w:val="Nzevknihy"/>
        </w:rPr>
        <w:t xml:space="preserve"> dle </w:t>
      </w:r>
      <w:r w:rsidR="00C648E9" w:rsidRPr="0028418A">
        <w:rPr>
          <w:rStyle w:val="Nzevknihy"/>
        </w:rPr>
        <w:t xml:space="preserve">skupin </w:t>
      </w:r>
      <w:r w:rsidR="00ED77F1" w:rsidRPr="0028418A">
        <w:rPr>
          <w:rStyle w:val="Nzevknihy"/>
        </w:rPr>
        <w:t>činností</w:t>
      </w:r>
    </w:p>
    <w:p w:rsidR="00195B9C" w:rsidRDefault="00971ABA" w:rsidP="00655FE0">
      <w:pPr>
        <w:jc w:val="center"/>
      </w:pPr>
      <w:r w:rsidRPr="00971ABA">
        <w:rPr>
          <w:noProof/>
        </w:rPr>
        <w:drawing>
          <wp:inline distT="0" distB="0" distL="0" distR="0">
            <wp:extent cx="5984875" cy="7374467"/>
            <wp:effectExtent l="19050" t="0" r="15875" b="0"/>
            <wp:docPr id="7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4E82" w:rsidRDefault="001A09E7" w:rsidP="0028418A">
      <w:r>
        <w:lastRenderedPageBreak/>
        <w:t xml:space="preserve">Zdroje a příčiny </w:t>
      </w:r>
      <w:r w:rsidR="00743994" w:rsidRPr="00086431">
        <w:t>pracovních úrazů, mimo smrtelných</w:t>
      </w:r>
      <w:r w:rsidR="00743994">
        <w:t xml:space="preserve"> v roce </w:t>
      </w:r>
      <w:r w:rsidR="00855AB5" w:rsidRPr="007F09D0">
        <w:t>2014</w:t>
      </w:r>
      <w:r w:rsidR="0006072D">
        <w:t xml:space="preserve"> </w:t>
      </w:r>
      <w:r>
        <w:t xml:space="preserve">podle </w:t>
      </w:r>
      <w:r w:rsidR="00C872BF" w:rsidRPr="007F09D0">
        <w:t>NV</w:t>
      </w:r>
      <w:r w:rsidR="00743994" w:rsidRPr="007F09D0">
        <w:t xml:space="preserve"> č. 201/2010 Sb., </w:t>
      </w:r>
      <w:r w:rsidR="0006072D">
        <w:t>jsou patrné z grafů</w:t>
      </w:r>
      <w:r w:rsidR="00743994" w:rsidRPr="007F09D0">
        <w:t xml:space="preserve"> č. </w:t>
      </w:r>
      <w:r>
        <w:t>4</w:t>
      </w:r>
      <w:r w:rsidR="00743994" w:rsidRPr="007F09D0">
        <w:t xml:space="preserve"> a</w:t>
      </w:r>
      <w:r w:rsidR="000D36B7" w:rsidRPr="007F09D0">
        <w:t> </w:t>
      </w:r>
      <w:r w:rsidR="00743994" w:rsidRPr="007F09D0">
        <w:t>č.</w:t>
      </w:r>
      <w:r w:rsidR="000D36B7" w:rsidRPr="007F09D0">
        <w:t> </w:t>
      </w:r>
      <w:r>
        <w:t>5</w:t>
      </w:r>
      <w:r w:rsidR="00743994" w:rsidRPr="007F09D0">
        <w:t>.</w:t>
      </w:r>
    </w:p>
    <w:p w:rsidR="00364E82" w:rsidRDefault="003866B2" w:rsidP="0028418A">
      <w:r w:rsidRPr="007F09D0">
        <w:t>Největší podíl ve zdrojích pracovních úrazů, stejně jako v roce 201</w:t>
      </w:r>
      <w:r w:rsidR="00293702" w:rsidRPr="007F09D0">
        <w:t>3</w:t>
      </w:r>
      <w:r w:rsidRPr="007F09D0">
        <w:t xml:space="preserve">, </w:t>
      </w:r>
      <w:r w:rsidR="006404D5">
        <w:t xml:space="preserve">mají </w:t>
      </w:r>
      <w:r w:rsidR="008E427C">
        <w:t>„</w:t>
      </w:r>
      <w:r w:rsidR="006404D5">
        <w:t xml:space="preserve">Materiál, břemena </w:t>
      </w:r>
      <w:r w:rsidR="00B454F0">
        <w:br/>
      </w:r>
      <w:r w:rsidR="006404D5">
        <w:t>a předměty</w:t>
      </w:r>
      <w:r w:rsidR="008E427C">
        <w:t>“</w:t>
      </w:r>
      <w:r w:rsidRPr="007F09D0">
        <w:t xml:space="preserve"> – </w:t>
      </w:r>
      <w:r w:rsidR="007F09D0" w:rsidRPr="007F09D0">
        <w:t>44,</w:t>
      </w:r>
      <w:r w:rsidR="00C879B8">
        <w:t>7</w:t>
      </w:r>
      <w:r w:rsidRPr="007F09D0">
        <w:t xml:space="preserve"> % z celkového počtu úrazů (v roce 201</w:t>
      </w:r>
      <w:r w:rsidR="007F09D0" w:rsidRPr="007F09D0">
        <w:t>3</w:t>
      </w:r>
      <w:r w:rsidRPr="007F09D0">
        <w:t xml:space="preserve"> – </w:t>
      </w:r>
      <w:r w:rsidR="007F09D0" w:rsidRPr="007F09D0">
        <w:t>41,1</w:t>
      </w:r>
      <w:r w:rsidRPr="007F09D0">
        <w:t xml:space="preserve"> %) a </w:t>
      </w:r>
      <w:r w:rsidR="008E427C">
        <w:t>„</w:t>
      </w:r>
      <w:r w:rsidRPr="007F09D0">
        <w:t xml:space="preserve">Pád na rovině, </w:t>
      </w:r>
      <w:r w:rsidR="006404D5">
        <w:t xml:space="preserve">z výšky, </w:t>
      </w:r>
      <w:r w:rsidR="00B454F0">
        <w:br/>
      </w:r>
      <w:r w:rsidR="006404D5">
        <w:t>do hloubky, propadnutí</w:t>
      </w:r>
      <w:r w:rsidR="008E427C">
        <w:t>“</w:t>
      </w:r>
      <w:r w:rsidRPr="007F09D0">
        <w:t xml:space="preserve"> –</w:t>
      </w:r>
      <w:r w:rsidR="00C879B8">
        <w:t xml:space="preserve"> 30,3</w:t>
      </w:r>
      <w:r w:rsidR="007F09D0" w:rsidRPr="007F09D0">
        <w:t xml:space="preserve"> </w:t>
      </w:r>
      <w:r w:rsidRPr="007F09D0">
        <w:t>% z celkového počtu úrazů (v roce 201</w:t>
      </w:r>
      <w:r w:rsidR="007F09D0" w:rsidRPr="007F09D0">
        <w:t>3</w:t>
      </w:r>
      <w:r w:rsidRPr="007F09D0">
        <w:t xml:space="preserve"> – </w:t>
      </w:r>
      <w:r w:rsidR="007F09D0" w:rsidRPr="007F09D0">
        <w:t xml:space="preserve">33,4 </w:t>
      </w:r>
      <w:r w:rsidRPr="007F09D0">
        <w:t xml:space="preserve">%). Uvedené </w:t>
      </w:r>
      <w:r w:rsidR="006404D5">
        <w:t>zdroje</w:t>
      </w:r>
      <w:r w:rsidRPr="007F09D0">
        <w:t xml:space="preserve"> tak zůstávají nejčastějšími stejně jako v roce 201</w:t>
      </w:r>
      <w:r w:rsidR="007F09D0" w:rsidRPr="007F09D0">
        <w:t>3</w:t>
      </w:r>
      <w:r w:rsidRPr="007F09D0">
        <w:t>.</w:t>
      </w:r>
    </w:p>
    <w:p w:rsidR="00637894" w:rsidRPr="00655FE0" w:rsidRDefault="00E708A3" w:rsidP="00655FE0">
      <w:pPr>
        <w:ind w:left="1134" w:hanging="1134"/>
        <w:jc w:val="left"/>
        <w:rPr>
          <w:rStyle w:val="Nzevknihy"/>
        </w:rPr>
      </w:pPr>
      <w:r w:rsidRPr="00655FE0">
        <w:rPr>
          <w:rStyle w:val="Nzevknihy"/>
        </w:rPr>
        <w:t xml:space="preserve">Graf č. </w:t>
      </w:r>
      <w:r w:rsidR="001A09E7" w:rsidRPr="00655FE0">
        <w:rPr>
          <w:rStyle w:val="Nzevknihy"/>
        </w:rPr>
        <w:t>4</w:t>
      </w:r>
      <w:r w:rsidRPr="00655FE0">
        <w:rPr>
          <w:rStyle w:val="Nzevknihy"/>
        </w:rPr>
        <w:t xml:space="preserve"> </w:t>
      </w:r>
      <w:r w:rsidR="00936B44" w:rsidRPr="00655FE0">
        <w:rPr>
          <w:rStyle w:val="Nzevknihy"/>
        </w:rPr>
        <w:t>–</w:t>
      </w:r>
      <w:r w:rsidRPr="00655FE0">
        <w:rPr>
          <w:rStyle w:val="Nzevknihy"/>
        </w:rPr>
        <w:t xml:space="preserve"> </w:t>
      </w:r>
      <w:r w:rsidR="00655FE0">
        <w:rPr>
          <w:rStyle w:val="Nzevknihy"/>
        </w:rPr>
        <w:t>P</w:t>
      </w:r>
      <w:r w:rsidR="00936B44" w:rsidRPr="00655FE0">
        <w:rPr>
          <w:rStyle w:val="Nzevknihy"/>
        </w:rPr>
        <w:t>rocentuální rozdělení zdrojů pracovních úrazů</w:t>
      </w:r>
      <w:r w:rsidR="005568F1" w:rsidRPr="00655FE0">
        <w:rPr>
          <w:rStyle w:val="Nzevknihy"/>
        </w:rPr>
        <w:t xml:space="preserve"> v roce 201</w:t>
      </w:r>
      <w:r w:rsidR="00855AB5" w:rsidRPr="00655FE0">
        <w:rPr>
          <w:rStyle w:val="Nzevknihy"/>
        </w:rPr>
        <w:t>4</w:t>
      </w:r>
    </w:p>
    <w:p w:rsidR="00C879B8" w:rsidRDefault="00272B0D" w:rsidP="00655FE0">
      <w:pPr>
        <w:ind w:firstLine="0"/>
        <w:jc w:val="center"/>
      </w:pPr>
      <w:r w:rsidRPr="00272B0D">
        <w:rPr>
          <w:noProof/>
        </w:rPr>
        <w:drawing>
          <wp:inline distT="0" distB="0" distL="0" distR="0">
            <wp:extent cx="5972810" cy="5715000"/>
            <wp:effectExtent l="19050" t="0" r="27940" b="0"/>
            <wp:docPr id="6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F09D0" w:rsidRDefault="007F09D0" w:rsidP="00655FE0">
      <w:pPr>
        <w:rPr>
          <w:b/>
        </w:rPr>
      </w:pPr>
      <w:r w:rsidRPr="00647603">
        <w:t xml:space="preserve">Nejčastější příčinou pracovních úrazů je </w:t>
      </w:r>
      <w:r w:rsidR="008E427C">
        <w:t>„</w:t>
      </w:r>
      <w:r w:rsidRPr="00647603">
        <w:t>Nepředvídatelné riziko práce nebo selhání lidského činitele</w:t>
      </w:r>
      <w:r w:rsidR="008E427C">
        <w:t>“</w:t>
      </w:r>
      <w:r w:rsidRPr="00647603">
        <w:t xml:space="preserve"> – 50,9 % z celkového počtu úrazů (v roce 201</w:t>
      </w:r>
      <w:r w:rsidR="00971ABA">
        <w:t>3</w:t>
      </w:r>
      <w:r w:rsidRPr="00647603">
        <w:t xml:space="preserve"> – 43,1 %), následuje </w:t>
      </w:r>
      <w:r w:rsidR="008E427C">
        <w:t>„</w:t>
      </w:r>
      <w:r w:rsidRPr="00647603">
        <w:t>Porušení pracovní kázně postiženým</w:t>
      </w:r>
      <w:r w:rsidR="008E427C">
        <w:t>“</w:t>
      </w:r>
      <w:r w:rsidRPr="00647603">
        <w:t xml:space="preserve"> – 18,</w:t>
      </w:r>
      <w:r w:rsidR="006145F3">
        <w:t>6</w:t>
      </w:r>
      <w:r w:rsidRPr="00647603">
        <w:t xml:space="preserve"> % z celkového počtu úrazů (v roce 2013 – 27,5 </w:t>
      </w:r>
      <w:r w:rsidR="00647603" w:rsidRPr="00647603">
        <w:t xml:space="preserve">%) a </w:t>
      </w:r>
      <w:r w:rsidR="008E427C">
        <w:t>„</w:t>
      </w:r>
      <w:r w:rsidRPr="00647603">
        <w:t>Špatně nebo nedostatečně odhadnuté riziko</w:t>
      </w:r>
      <w:r w:rsidR="008E427C">
        <w:t>“</w:t>
      </w:r>
      <w:r w:rsidRPr="00647603">
        <w:t xml:space="preserve"> – </w:t>
      </w:r>
      <w:r w:rsidR="00647603" w:rsidRPr="00647603">
        <w:t>16</w:t>
      </w:r>
      <w:r w:rsidRPr="00647603">
        <w:t>,</w:t>
      </w:r>
      <w:r w:rsidR="00647603" w:rsidRPr="00647603">
        <w:t>5</w:t>
      </w:r>
      <w:r w:rsidRPr="00647603">
        <w:t xml:space="preserve"> % (v roce 201</w:t>
      </w:r>
      <w:r w:rsidR="00647603" w:rsidRPr="00647603">
        <w:t>3</w:t>
      </w:r>
      <w:r w:rsidRPr="00647603">
        <w:t xml:space="preserve"> – </w:t>
      </w:r>
      <w:r w:rsidR="00647603" w:rsidRPr="00647603">
        <w:t xml:space="preserve">11,3 </w:t>
      </w:r>
      <w:r w:rsidRPr="00647603">
        <w:t xml:space="preserve">%). </w:t>
      </w:r>
    </w:p>
    <w:p w:rsidR="00655FE0" w:rsidRDefault="00655FE0">
      <w:pPr>
        <w:suppressAutoHyphens w:val="0"/>
        <w:autoSpaceDE/>
        <w:autoSpaceDN/>
        <w:adjustRightInd/>
        <w:spacing w:before="0" w:after="0"/>
        <w:ind w:firstLine="0"/>
        <w:rPr>
          <w:rStyle w:val="Nzevknihy"/>
        </w:rPr>
      </w:pPr>
      <w:r>
        <w:rPr>
          <w:rStyle w:val="Nzevknihy"/>
        </w:rPr>
        <w:br w:type="page"/>
      </w:r>
    </w:p>
    <w:p w:rsidR="0002406E" w:rsidRPr="00655FE0" w:rsidRDefault="0002406E" w:rsidP="00655FE0">
      <w:pPr>
        <w:ind w:left="1134" w:hanging="1134"/>
        <w:jc w:val="left"/>
        <w:rPr>
          <w:rStyle w:val="Nzevknihy"/>
        </w:rPr>
      </w:pPr>
      <w:r w:rsidRPr="00655FE0">
        <w:rPr>
          <w:rStyle w:val="Nzevknihy"/>
        </w:rPr>
        <w:lastRenderedPageBreak/>
        <w:t xml:space="preserve">Graf č. </w:t>
      </w:r>
      <w:r w:rsidR="00272B0D" w:rsidRPr="00655FE0">
        <w:rPr>
          <w:rStyle w:val="Nzevknihy"/>
        </w:rPr>
        <w:t>5</w:t>
      </w:r>
      <w:r w:rsidRPr="00655FE0">
        <w:rPr>
          <w:rStyle w:val="Nzevknihy"/>
        </w:rPr>
        <w:t xml:space="preserve"> – </w:t>
      </w:r>
      <w:r w:rsidR="00655FE0">
        <w:rPr>
          <w:rStyle w:val="Nzevknihy"/>
        </w:rPr>
        <w:t>P</w:t>
      </w:r>
      <w:r w:rsidRPr="00655FE0">
        <w:rPr>
          <w:rStyle w:val="Nzevknihy"/>
        </w:rPr>
        <w:t>rocentuální rozdělení příčin pracovních úrazů</w:t>
      </w:r>
      <w:r w:rsidR="005568F1" w:rsidRPr="00655FE0">
        <w:rPr>
          <w:rStyle w:val="Nzevknihy"/>
        </w:rPr>
        <w:t xml:space="preserve"> v roce 201</w:t>
      </w:r>
      <w:r w:rsidR="00855AB5" w:rsidRPr="00655FE0">
        <w:rPr>
          <w:rStyle w:val="Nzevknihy"/>
        </w:rPr>
        <w:t>4</w:t>
      </w:r>
    </w:p>
    <w:p w:rsidR="00B74362" w:rsidRDefault="00F8758F" w:rsidP="00655FE0">
      <w:pPr>
        <w:ind w:firstLine="0"/>
        <w:jc w:val="center"/>
      </w:pPr>
      <w:r w:rsidRPr="00F8758F">
        <w:rPr>
          <w:noProof/>
        </w:rPr>
        <w:drawing>
          <wp:inline distT="0" distB="0" distL="0" distR="0">
            <wp:extent cx="5972810" cy="6402070"/>
            <wp:effectExtent l="19050" t="0" r="27940" b="0"/>
            <wp:docPr id="8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E35BE" w:rsidRPr="00132E64" w:rsidRDefault="00077369" w:rsidP="006203DD">
      <w:pPr>
        <w:pStyle w:val="Nadpis2"/>
      </w:pPr>
      <w:bookmarkStart w:id="4" w:name="_Toc422823292"/>
      <w:r w:rsidRPr="00132E64">
        <w:t>Smrtelná</w:t>
      </w:r>
      <w:r w:rsidR="007E35BE" w:rsidRPr="00132E64">
        <w:t xml:space="preserve"> úrazovost</w:t>
      </w:r>
      <w:bookmarkEnd w:id="4"/>
    </w:p>
    <w:p w:rsidR="00A2155D" w:rsidRPr="00647603" w:rsidRDefault="0044603A" w:rsidP="00655FE0">
      <w:r w:rsidRPr="00647603">
        <w:t>V průběhu roku 201</w:t>
      </w:r>
      <w:r w:rsidR="00855AB5" w:rsidRPr="00647603">
        <w:t>4</w:t>
      </w:r>
      <w:r w:rsidRPr="00647603">
        <w:t xml:space="preserve"> došlo k </w:t>
      </w:r>
      <w:r w:rsidR="009E2C56" w:rsidRPr="00647603">
        <w:t>11</w:t>
      </w:r>
      <w:r w:rsidRPr="00647603">
        <w:t xml:space="preserve"> smrtelným pracovním</w:t>
      </w:r>
      <w:r w:rsidR="00E524FC" w:rsidRPr="00647603">
        <w:t xml:space="preserve"> úrazům. Ve srovnání s rokem 201</w:t>
      </w:r>
      <w:r w:rsidR="00855AB5" w:rsidRPr="00647603">
        <w:t>3</w:t>
      </w:r>
      <w:r w:rsidRPr="00647603">
        <w:t xml:space="preserve"> </w:t>
      </w:r>
      <w:r w:rsidR="00622EA8">
        <w:t xml:space="preserve">bylo registrováno </w:t>
      </w:r>
      <w:r w:rsidR="009E2C56" w:rsidRPr="00647603">
        <w:t>o 7</w:t>
      </w:r>
      <w:r w:rsidR="00622EA8">
        <w:t xml:space="preserve"> smrtelných úrazů více</w:t>
      </w:r>
      <w:r w:rsidRPr="00647603">
        <w:t>.</w:t>
      </w:r>
      <w:r w:rsidR="00015E01">
        <w:t xml:space="preserve"> Tato skutečnost je v rozporu s pozitivním vývoje</w:t>
      </w:r>
      <w:r w:rsidR="007521D5">
        <w:t>m</w:t>
      </w:r>
      <w:r w:rsidR="00015E01">
        <w:t xml:space="preserve"> </w:t>
      </w:r>
      <w:r w:rsidR="001D4DF4">
        <w:t xml:space="preserve">celkové </w:t>
      </w:r>
      <w:r w:rsidR="00015E01">
        <w:t xml:space="preserve">úrazovosti a </w:t>
      </w:r>
      <w:r w:rsidR="001D4DF4">
        <w:t xml:space="preserve">v rozporu </w:t>
      </w:r>
      <w:r w:rsidR="000C73C4">
        <w:t>s</w:t>
      </w:r>
      <w:r w:rsidR="00015E01">
        <w:t xml:space="preserve"> vysokou úrovní bezpečnosti práce. Nejedná se však o trend, ale </w:t>
      </w:r>
      <w:r w:rsidR="00B454F0">
        <w:br/>
      </w:r>
      <w:r w:rsidR="00015E01">
        <w:t xml:space="preserve">o potvrzení faktu, že hornická činnost </w:t>
      </w:r>
      <w:r w:rsidR="001D4DF4">
        <w:t>zůstává</w:t>
      </w:r>
      <w:r w:rsidR="00015E01">
        <w:t xml:space="preserve"> </w:t>
      </w:r>
      <w:r w:rsidR="001D4DF4">
        <w:t>jednou z nejrizikovějších</w:t>
      </w:r>
      <w:r w:rsidR="00015E01">
        <w:t xml:space="preserve"> činností, </w:t>
      </w:r>
      <w:r w:rsidR="005F460C">
        <w:t xml:space="preserve">z důvodu těžkých podmínek, které se navíc často mění, a </w:t>
      </w:r>
      <w:r w:rsidR="000C73C4">
        <w:t>při které i malé pochybení může mít fatální následky</w:t>
      </w:r>
      <w:r w:rsidR="005F460C">
        <w:t>.</w:t>
      </w:r>
      <w:r w:rsidR="000B34E8">
        <w:t xml:space="preserve"> O tom svědčí i nejčastější příčiny smrtelných úrazů, kterými jsou nepředvídatelné riziko práce a selhání lidského činitele.</w:t>
      </w:r>
      <w:r w:rsidR="000C73C4">
        <w:t xml:space="preserve"> </w:t>
      </w:r>
      <w:r w:rsidR="005F460C">
        <w:t>Nárůst počtu smrtelných úrazů</w:t>
      </w:r>
      <w:r w:rsidR="00015E01">
        <w:t xml:space="preserve"> </w:t>
      </w:r>
      <w:r w:rsidR="005F460C">
        <w:t xml:space="preserve">také svědčí o faktu, </w:t>
      </w:r>
      <w:r w:rsidR="00015E01">
        <w:t xml:space="preserve">že </w:t>
      </w:r>
      <w:r w:rsidR="005F460C">
        <w:t>počet smrtelných úrazů</w:t>
      </w:r>
      <w:r w:rsidR="000C73C4">
        <w:t xml:space="preserve"> se </w:t>
      </w:r>
      <w:r w:rsidR="00602833">
        <w:t xml:space="preserve">v minulosti přiblížil </w:t>
      </w:r>
      <w:r w:rsidR="000C73C4">
        <w:t xml:space="preserve">své </w:t>
      </w:r>
      <w:r w:rsidR="005F460C">
        <w:t xml:space="preserve">minimální hodnotě </w:t>
      </w:r>
      <w:r w:rsidR="000C73C4">
        <w:t>a zřejmě bude</w:t>
      </w:r>
      <w:r w:rsidR="005F460C">
        <w:t>, jako už několikrát v posledních letech</w:t>
      </w:r>
      <w:r w:rsidR="003B5CBF">
        <w:t>,</w:t>
      </w:r>
      <w:r w:rsidR="005F460C">
        <w:t xml:space="preserve"> kolísat, </w:t>
      </w:r>
      <w:r w:rsidR="000C73C4">
        <w:t>jak je patrné i z grafu č. 6. S tímto konstatováním se však nelze smířit</w:t>
      </w:r>
      <w:r w:rsidR="00D86987">
        <w:t>,</w:t>
      </w:r>
      <w:r w:rsidR="000C73C4">
        <w:t xml:space="preserve"> a proto jedním </w:t>
      </w:r>
      <w:r w:rsidR="000C73C4">
        <w:lastRenderedPageBreak/>
        <w:t xml:space="preserve">z trvalých úkolů státní báňské správy je nepolevovat v dozorové činnosti, ani při pozitivním vývoji </w:t>
      </w:r>
      <w:r w:rsidR="005F460C">
        <w:t>v úrovni bezpečnosti práce.</w:t>
      </w:r>
    </w:p>
    <w:p w:rsidR="004B4DAF" w:rsidRPr="006203DD" w:rsidRDefault="007E35BE" w:rsidP="006203DD">
      <w:pPr>
        <w:pStyle w:val="Nadpis3"/>
      </w:pPr>
      <w:bookmarkStart w:id="5" w:name="_Toc422823293"/>
      <w:r w:rsidRPr="006203DD">
        <w:t>Přeh</w:t>
      </w:r>
      <w:r w:rsidR="004E5CED" w:rsidRPr="006203DD">
        <w:t>led smrtelných úrazů v roce 20</w:t>
      </w:r>
      <w:r w:rsidR="0023651A" w:rsidRPr="006203DD">
        <w:t>1</w:t>
      </w:r>
      <w:r w:rsidR="00B3492B" w:rsidRPr="006203DD">
        <w:t>4</w:t>
      </w:r>
      <w:bookmarkEnd w:id="5"/>
    </w:p>
    <w:p w:rsidR="007E35BE" w:rsidRPr="00655FE0" w:rsidRDefault="007E35BE" w:rsidP="00655FE0">
      <w:pPr>
        <w:ind w:left="1134" w:hanging="1134"/>
        <w:jc w:val="left"/>
        <w:rPr>
          <w:rStyle w:val="Nzevknihy"/>
        </w:rPr>
      </w:pPr>
      <w:r w:rsidRPr="00655FE0">
        <w:rPr>
          <w:rStyle w:val="Nzevknihy"/>
        </w:rPr>
        <w:t xml:space="preserve">Tabulka </w:t>
      </w:r>
      <w:r w:rsidR="00077369" w:rsidRPr="00655FE0">
        <w:rPr>
          <w:rStyle w:val="Nzevknihy"/>
        </w:rPr>
        <w:t xml:space="preserve">č. </w:t>
      </w:r>
      <w:r w:rsidR="00F8758F" w:rsidRPr="00655FE0">
        <w:rPr>
          <w:rStyle w:val="Nzevknihy"/>
        </w:rPr>
        <w:t>1</w:t>
      </w:r>
      <w:r w:rsidR="00936B44" w:rsidRPr="00655FE0">
        <w:rPr>
          <w:rStyle w:val="Nzevknihy"/>
        </w:rPr>
        <w:t xml:space="preserve"> – smrtelné pracovní úrazy v roce 20</w:t>
      </w:r>
      <w:r w:rsidR="0023651A" w:rsidRPr="00655FE0">
        <w:rPr>
          <w:rStyle w:val="Nzevknihy"/>
        </w:rPr>
        <w:t>1</w:t>
      </w:r>
      <w:r w:rsidR="00B3492B" w:rsidRPr="00655FE0">
        <w:rPr>
          <w:rStyle w:val="Nzevknihy"/>
        </w:rPr>
        <w:t>4</w:t>
      </w:r>
    </w:p>
    <w:tbl>
      <w:tblPr>
        <w:tblW w:w="490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97"/>
        <w:gridCol w:w="1303"/>
        <w:gridCol w:w="4746"/>
      </w:tblGrid>
      <w:tr w:rsidR="00393B7A" w:rsidRPr="00647603" w:rsidTr="00655FE0">
        <w:trPr>
          <w:trHeight w:val="357"/>
          <w:jc w:val="center"/>
        </w:trPr>
        <w:tc>
          <w:tcPr>
            <w:tcW w:w="764" w:type="pct"/>
            <w:shd w:val="clear" w:color="auto" w:fill="48723E"/>
            <w:vAlign w:val="center"/>
          </w:tcPr>
          <w:p w:rsidR="00393B7A" w:rsidRPr="00D53837" w:rsidRDefault="00393B7A" w:rsidP="00E50969">
            <w:pPr>
              <w:ind w:firstLine="0"/>
              <w:jc w:val="center"/>
            </w:pPr>
            <w:r w:rsidRPr="00D53837">
              <w:t>Datum</w:t>
            </w:r>
          </w:p>
        </w:tc>
        <w:tc>
          <w:tcPr>
            <w:tcW w:w="1128" w:type="pct"/>
            <w:shd w:val="clear" w:color="auto" w:fill="48723E"/>
            <w:vAlign w:val="center"/>
          </w:tcPr>
          <w:p w:rsidR="00393B7A" w:rsidRPr="00D53837" w:rsidRDefault="00622EA8" w:rsidP="00655FE0">
            <w:pPr>
              <w:ind w:firstLine="0"/>
              <w:jc w:val="center"/>
            </w:pPr>
            <w:r w:rsidRPr="00D53837">
              <w:t>Činnost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8723E"/>
            <w:vAlign w:val="center"/>
          </w:tcPr>
          <w:p w:rsidR="00393B7A" w:rsidRPr="00D53837" w:rsidRDefault="00622EA8" w:rsidP="00655FE0">
            <w:pPr>
              <w:ind w:firstLine="0"/>
              <w:jc w:val="center"/>
            </w:pPr>
            <w:r w:rsidRPr="00D53837">
              <w:t>Počet</w:t>
            </w:r>
          </w:p>
        </w:tc>
        <w:tc>
          <w:tcPr>
            <w:tcW w:w="2438" w:type="pct"/>
            <w:shd w:val="clear" w:color="auto" w:fill="48723E"/>
            <w:vAlign w:val="center"/>
          </w:tcPr>
          <w:p w:rsidR="00393B7A" w:rsidRPr="00D53837" w:rsidRDefault="00393B7A" w:rsidP="006203DD">
            <w:pPr>
              <w:ind w:firstLine="22"/>
              <w:jc w:val="center"/>
            </w:pPr>
            <w:r w:rsidRPr="00D53837">
              <w:t>Příčina</w:t>
            </w:r>
          </w:p>
        </w:tc>
      </w:tr>
      <w:tr w:rsidR="00393B7A" w:rsidRPr="00647603" w:rsidTr="00655FE0">
        <w:trPr>
          <w:trHeight w:val="834"/>
          <w:jc w:val="center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7A" w:rsidRPr="005F460C" w:rsidRDefault="00393B7A" w:rsidP="00E50969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16.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2.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2014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7A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Dobývání černého uhlí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7A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A7E" w:rsidRPr="005F460C" w:rsidRDefault="005F460C" w:rsidP="00B41759">
            <w:pPr>
              <w:ind w:firstLine="22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 xml:space="preserve">Příčina nezjištěna. </w:t>
            </w:r>
            <w:r w:rsidR="00A242EC" w:rsidRPr="005F460C">
              <w:rPr>
                <w:sz w:val="22"/>
                <w:szCs w:val="22"/>
              </w:rPr>
              <w:t xml:space="preserve">Postižený </w:t>
            </w:r>
            <w:r w:rsidRPr="005F460C">
              <w:rPr>
                <w:sz w:val="22"/>
                <w:szCs w:val="22"/>
              </w:rPr>
              <w:t>nalezen v železniční</w:t>
            </w:r>
            <w:r w:rsidR="00B41759">
              <w:rPr>
                <w:sz w:val="22"/>
                <w:szCs w:val="22"/>
              </w:rPr>
              <w:t>m</w:t>
            </w:r>
            <w:r w:rsidRPr="005F460C">
              <w:rPr>
                <w:sz w:val="22"/>
                <w:szCs w:val="22"/>
              </w:rPr>
              <w:t xml:space="preserve"> voze</w:t>
            </w:r>
            <w:r w:rsidR="00511080">
              <w:rPr>
                <w:sz w:val="22"/>
                <w:szCs w:val="22"/>
              </w:rPr>
              <w:t>,</w:t>
            </w:r>
            <w:r w:rsidRPr="005F460C">
              <w:rPr>
                <w:sz w:val="22"/>
                <w:szCs w:val="22"/>
              </w:rPr>
              <w:t xml:space="preserve"> pod výsypem uhlí</w:t>
            </w:r>
            <w:r w:rsidR="00511080">
              <w:rPr>
                <w:sz w:val="22"/>
                <w:szCs w:val="22"/>
              </w:rPr>
              <w:t>,</w:t>
            </w:r>
            <w:r w:rsidR="004126E7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zasypán</w:t>
            </w:r>
            <w:r w:rsidR="004126E7" w:rsidRPr="005F460C">
              <w:rPr>
                <w:sz w:val="22"/>
                <w:szCs w:val="22"/>
              </w:rPr>
              <w:t xml:space="preserve"> uhlím.</w:t>
            </w:r>
          </w:p>
        </w:tc>
      </w:tr>
      <w:tr w:rsidR="00393B7A" w:rsidRPr="00647603" w:rsidTr="00655FE0">
        <w:trPr>
          <w:trHeight w:val="607"/>
          <w:jc w:val="center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7A" w:rsidRPr="005F460C" w:rsidRDefault="00393B7A" w:rsidP="00E50969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26.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3.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2014</w:t>
            </w:r>
          </w:p>
        </w:tc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7A" w:rsidRPr="005F460C" w:rsidRDefault="00FF64B0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Povrchové d</w:t>
            </w:r>
            <w:r w:rsidR="00622EA8" w:rsidRPr="005F460C">
              <w:rPr>
                <w:sz w:val="22"/>
                <w:szCs w:val="22"/>
              </w:rPr>
              <w:t>obývání hnědého uhlí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7A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</w:t>
            </w: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7E" w:rsidRPr="005F460C" w:rsidRDefault="004126E7" w:rsidP="00B41759">
            <w:pPr>
              <w:ind w:firstLine="22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Postižený byl přitlačen montážní vysokozdvižnou plošin</w:t>
            </w:r>
            <w:r w:rsidR="00B41759">
              <w:rPr>
                <w:sz w:val="22"/>
                <w:szCs w:val="22"/>
              </w:rPr>
              <w:t>ou</w:t>
            </w:r>
            <w:r w:rsidRPr="005F460C">
              <w:rPr>
                <w:sz w:val="22"/>
                <w:szCs w:val="22"/>
              </w:rPr>
              <w:t>, na které stál a kterou ovládal, k technologické lávce, jejíž montáž z plošiny prováděl.</w:t>
            </w:r>
          </w:p>
        </w:tc>
      </w:tr>
      <w:tr w:rsidR="00622EA8" w:rsidRPr="00647603" w:rsidTr="00655FE0">
        <w:trPr>
          <w:trHeight w:val="716"/>
          <w:jc w:val="center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FA4367" w:rsidP="00E50969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28.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="00622EA8" w:rsidRPr="005F460C">
              <w:rPr>
                <w:sz w:val="22"/>
                <w:szCs w:val="22"/>
              </w:rPr>
              <w:t>3.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="00622EA8" w:rsidRPr="005F460C">
              <w:rPr>
                <w:sz w:val="22"/>
                <w:szCs w:val="22"/>
              </w:rPr>
              <w:t>2014</w:t>
            </w:r>
          </w:p>
        </w:tc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Dobývání černého uhlí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</w:t>
            </w: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7E" w:rsidRPr="005F460C" w:rsidRDefault="004126E7" w:rsidP="006203DD">
            <w:pPr>
              <w:ind w:firstLine="22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Postižený byl zavalen horninou při ražbě důlní chodby.</w:t>
            </w:r>
          </w:p>
        </w:tc>
      </w:tr>
      <w:tr w:rsidR="00622EA8" w:rsidRPr="00647603" w:rsidTr="00655FE0">
        <w:trPr>
          <w:trHeight w:val="504"/>
          <w:jc w:val="center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E50969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5.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4.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2014</w:t>
            </w:r>
          </w:p>
        </w:tc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Dobývání černého uhlí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</w:t>
            </w: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7E" w:rsidRPr="005F460C" w:rsidRDefault="00622EA8" w:rsidP="006203DD">
            <w:pPr>
              <w:ind w:firstLine="22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 xml:space="preserve">Při výměně lana </w:t>
            </w:r>
            <w:r w:rsidR="006F1A7E" w:rsidRPr="005F460C">
              <w:rPr>
                <w:sz w:val="22"/>
                <w:szCs w:val="22"/>
              </w:rPr>
              <w:t xml:space="preserve">těžního zařízení </w:t>
            </w:r>
            <w:r w:rsidRPr="005F460C">
              <w:rPr>
                <w:sz w:val="22"/>
                <w:szCs w:val="22"/>
              </w:rPr>
              <w:t>došlo k pádu</w:t>
            </w:r>
            <w:r w:rsidR="0028418A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předmětu</w:t>
            </w:r>
            <w:r w:rsidR="004126E7" w:rsidRPr="005F460C">
              <w:rPr>
                <w:sz w:val="22"/>
                <w:szCs w:val="22"/>
              </w:rPr>
              <w:t xml:space="preserve"> do jámy</w:t>
            </w:r>
            <w:r w:rsidRPr="005F460C">
              <w:rPr>
                <w:sz w:val="22"/>
                <w:szCs w:val="22"/>
              </w:rPr>
              <w:t xml:space="preserve"> a zasažení postiženého do hlavy.</w:t>
            </w:r>
          </w:p>
        </w:tc>
      </w:tr>
      <w:tr w:rsidR="00393B7A" w:rsidRPr="00647603" w:rsidTr="00655FE0">
        <w:trPr>
          <w:trHeight w:val="554"/>
          <w:jc w:val="center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7A" w:rsidRPr="005F460C" w:rsidRDefault="00393B7A" w:rsidP="00E50969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17.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5.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2014</w:t>
            </w:r>
          </w:p>
        </w:tc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7A" w:rsidRPr="005F460C" w:rsidRDefault="00FF64B0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Hlubinné d</w:t>
            </w:r>
            <w:r w:rsidR="00622EA8" w:rsidRPr="005F460C">
              <w:rPr>
                <w:sz w:val="22"/>
                <w:szCs w:val="22"/>
              </w:rPr>
              <w:t>obývání hnědého uhlí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7A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</w:t>
            </w: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7E" w:rsidRPr="005F460C" w:rsidRDefault="00393B7A" w:rsidP="006203DD">
            <w:pPr>
              <w:ind w:firstLine="22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 xml:space="preserve">Postižený byl zavalen horninou při </w:t>
            </w:r>
            <w:r w:rsidR="004126E7" w:rsidRPr="005F460C">
              <w:rPr>
                <w:sz w:val="22"/>
                <w:szCs w:val="22"/>
              </w:rPr>
              <w:t>stavbě</w:t>
            </w:r>
            <w:r w:rsidRPr="005F460C">
              <w:rPr>
                <w:sz w:val="22"/>
                <w:szCs w:val="22"/>
              </w:rPr>
              <w:t xml:space="preserve"> výztuže </w:t>
            </w:r>
            <w:r w:rsidR="004126E7" w:rsidRPr="005F460C">
              <w:rPr>
                <w:sz w:val="22"/>
                <w:szCs w:val="22"/>
              </w:rPr>
              <w:t>křížení důlních</w:t>
            </w:r>
            <w:r w:rsidRPr="005F460C">
              <w:rPr>
                <w:sz w:val="22"/>
                <w:szCs w:val="22"/>
              </w:rPr>
              <w:t xml:space="preserve"> chodeb.</w:t>
            </w:r>
          </w:p>
        </w:tc>
      </w:tr>
      <w:tr w:rsidR="00622EA8" w:rsidRPr="00647603" w:rsidTr="00655FE0">
        <w:trPr>
          <w:trHeight w:val="845"/>
          <w:jc w:val="center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E50969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21.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5.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2014</w:t>
            </w:r>
          </w:p>
        </w:tc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Dobývání černého uhlí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</w:t>
            </w: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4126E7" w:rsidP="006203DD">
            <w:pPr>
              <w:ind w:firstLine="22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Postižený přemisťoval vrat na lžíci nakladače,</w:t>
            </w:r>
            <w:r w:rsidR="002B7D60" w:rsidRPr="005F460C">
              <w:rPr>
                <w:sz w:val="22"/>
                <w:szCs w:val="22"/>
              </w:rPr>
              <w:t xml:space="preserve"> vrat se uvolnil a přitlačil postiženého k nakladači.</w:t>
            </w:r>
          </w:p>
        </w:tc>
      </w:tr>
      <w:tr w:rsidR="00622EA8" w:rsidRPr="00647603" w:rsidTr="00655FE0">
        <w:trPr>
          <w:trHeight w:val="716"/>
          <w:jc w:val="center"/>
        </w:trPr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E50969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8.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8.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2014</w:t>
            </w:r>
          </w:p>
        </w:tc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Dobývání černého uhlí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</w:t>
            </w: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3837" w:rsidRPr="005F460C" w:rsidRDefault="006F1A7E" w:rsidP="006203DD">
            <w:pPr>
              <w:ind w:firstLine="22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 xml:space="preserve">Postižený </w:t>
            </w:r>
            <w:r w:rsidR="00622EA8" w:rsidRPr="005F460C">
              <w:rPr>
                <w:sz w:val="22"/>
                <w:szCs w:val="22"/>
              </w:rPr>
              <w:t>byl zasažen koncovkou hadice</w:t>
            </w:r>
            <w:r w:rsidR="00D53837" w:rsidRPr="005F460C">
              <w:rPr>
                <w:sz w:val="22"/>
                <w:szCs w:val="22"/>
              </w:rPr>
              <w:t xml:space="preserve"> tlakového rozvodu hydraulické kapaliny</w:t>
            </w:r>
            <w:r w:rsidR="00622EA8" w:rsidRPr="005F460C">
              <w:rPr>
                <w:sz w:val="22"/>
                <w:szCs w:val="22"/>
              </w:rPr>
              <w:t xml:space="preserve"> </w:t>
            </w:r>
            <w:r w:rsidR="00697E91" w:rsidRPr="005F460C">
              <w:rPr>
                <w:sz w:val="22"/>
                <w:szCs w:val="22"/>
              </w:rPr>
              <w:t xml:space="preserve">a </w:t>
            </w:r>
            <w:r w:rsidR="002B7D60" w:rsidRPr="005F460C">
              <w:rPr>
                <w:sz w:val="22"/>
                <w:szCs w:val="22"/>
              </w:rPr>
              <w:t xml:space="preserve">samotnou </w:t>
            </w:r>
            <w:r w:rsidR="00C648E9" w:rsidRPr="005F460C">
              <w:rPr>
                <w:sz w:val="22"/>
                <w:szCs w:val="22"/>
              </w:rPr>
              <w:t xml:space="preserve">tlakovou </w:t>
            </w:r>
            <w:r w:rsidR="002B7D60" w:rsidRPr="005F460C">
              <w:rPr>
                <w:sz w:val="22"/>
                <w:szCs w:val="22"/>
              </w:rPr>
              <w:t>kapalinou</w:t>
            </w:r>
            <w:r w:rsidR="00697E91" w:rsidRPr="005F460C">
              <w:rPr>
                <w:sz w:val="22"/>
                <w:szCs w:val="22"/>
              </w:rPr>
              <w:t xml:space="preserve"> </w:t>
            </w:r>
            <w:r w:rsidR="00622EA8" w:rsidRPr="005F460C">
              <w:rPr>
                <w:sz w:val="22"/>
                <w:szCs w:val="22"/>
              </w:rPr>
              <w:t>do hlavy.</w:t>
            </w:r>
          </w:p>
        </w:tc>
      </w:tr>
      <w:tr w:rsidR="00622EA8" w:rsidRPr="00647603" w:rsidTr="00655FE0">
        <w:trPr>
          <w:trHeight w:val="716"/>
          <w:jc w:val="center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E50969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11.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8.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2014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Dobývání černého uhlí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015E01" w:rsidP="006203DD">
            <w:pPr>
              <w:ind w:firstLine="22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 xml:space="preserve">Příčina nezjištěna. </w:t>
            </w:r>
            <w:r w:rsidR="00622EA8" w:rsidRPr="005F460C">
              <w:rPr>
                <w:sz w:val="22"/>
                <w:szCs w:val="22"/>
              </w:rPr>
              <w:t>Postižený byl nalezen v</w:t>
            </w:r>
            <w:r w:rsidR="000C73C4" w:rsidRPr="005F460C">
              <w:rPr>
                <w:sz w:val="22"/>
                <w:szCs w:val="22"/>
              </w:rPr>
              <w:t> </w:t>
            </w:r>
            <w:r w:rsidR="00622EA8" w:rsidRPr="005F460C">
              <w:rPr>
                <w:sz w:val="22"/>
                <w:szCs w:val="22"/>
              </w:rPr>
              <w:t>pololeže</w:t>
            </w:r>
            <w:r w:rsidR="000C73C4" w:rsidRPr="005F460C">
              <w:rPr>
                <w:sz w:val="22"/>
                <w:szCs w:val="22"/>
              </w:rPr>
              <w:t>. Soudní pitva</w:t>
            </w:r>
            <w:r w:rsidR="00D53837" w:rsidRPr="005F460C">
              <w:rPr>
                <w:sz w:val="22"/>
                <w:szCs w:val="22"/>
              </w:rPr>
              <w:t xml:space="preserve"> a </w:t>
            </w:r>
            <w:r w:rsidR="000C73C4" w:rsidRPr="005F460C">
              <w:rPr>
                <w:sz w:val="22"/>
                <w:szCs w:val="22"/>
              </w:rPr>
              <w:t xml:space="preserve">znalecké posouzení jako příčinu smrti určily </w:t>
            </w:r>
            <w:r w:rsidR="00D53837" w:rsidRPr="005F460C">
              <w:rPr>
                <w:sz w:val="22"/>
                <w:szCs w:val="22"/>
              </w:rPr>
              <w:t>zlomení vazu následkem prudkého záklonu hlavy.</w:t>
            </w:r>
          </w:p>
        </w:tc>
      </w:tr>
      <w:tr w:rsidR="00622EA8" w:rsidRPr="004403E9" w:rsidTr="00655FE0">
        <w:trPr>
          <w:trHeight w:val="716"/>
          <w:jc w:val="center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E50969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14.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11.</w:t>
            </w:r>
            <w:r w:rsidR="006145F3" w:rsidRPr="005F460C">
              <w:rPr>
                <w:sz w:val="22"/>
                <w:szCs w:val="22"/>
              </w:rPr>
              <w:t xml:space="preserve"> </w:t>
            </w:r>
            <w:r w:rsidRPr="005F460C">
              <w:rPr>
                <w:sz w:val="22"/>
                <w:szCs w:val="22"/>
              </w:rPr>
              <w:t>2014</w:t>
            </w:r>
          </w:p>
        </w:tc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Dobývání černého uhlí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FF64B0" w:rsidP="00655FE0">
            <w:pPr>
              <w:ind w:firstLine="0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>3</w:t>
            </w: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A8" w:rsidRPr="005F460C" w:rsidRDefault="00622EA8" w:rsidP="00B41759">
            <w:pPr>
              <w:ind w:firstLine="22"/>
              <w:jc w:val="center"/>
              <w:rPr>
                <w:sz w:val="22"/>
                <w:szCs w:val="22"/>
              </w:rPr>
            </w:pPr>
            <w:r w:rsidRPr="005F460C">
              <w:rPr>
                <w:sz w:val="22"/>
                <w:szCs w:val="22"/>
              </w:rPr>
              <w:t xml:space="preserve">Při rozšiřování </w:t>
            </w:r>
            <w:r w:rsidR="00D53837" w:rsidRPr="005F460C">
              <w:rPr>
                <w:sz w:val="22"/>
                <w:szCs w:val="22"/>
              </w:rPr>
              <w:t xml:space="preserve">důlní chodby pro budoucí porub </w:t>
            </w:r>
            <w:r w:rsidRPr="005F460C">
              <w:rPr>
                <w:sz w:val="22"/>
                <w:szCs w:val="22"/>
              </w:rPr>
              <w:t>došlo k důlnímu otřesu</w:t>
            </w:r>
            <w:r w:rsidR="000C73C4" w:rsidRPr="005F460C">
              <w:rPr>
                <w:sz w:val="22"/>
                <w:szCs w:val="22"/>
              </w:rPr>
              <w:t xml:space="preserve">, který zdevastoval důlní </w:t>
            </w:r>
            <w:r w:rsidR="00B41759">
              <w:rPr>
                <w:sz w:val="22"/>
                <w:szCs w:val="22"/>
              </w:rPr>
              <w:t>díla</w:t>
            </w:r>
            <w:r w:rsidR="000C73C4" w:rsidRPr="005F460C">
              <w:rPr>
                <w:sz w:val="22"/>
                <w:szCs w:val="22"/>
              </w:rPr>
              <w:t>, ve kterých se postižení nacházeli</w:t>
            </w:r>
            <w:r w:rsidRPr="005F460C">
              <w:rPr>
                <w:sz w:val="22"/>
                <w:szCs w:val="22"/>
              </w:rPr>
              <w:t>.</w:t>
            </w:r>
          </w:p>
        </w:tc>
      </w:tr>
    </w:tbl>
    <w:p w:rsidR="007E35BE" w:rsidRPr="00132E64" w:rsidRDefault="00B662C4" w:rsidP="006203DD">
      <w:pPr>
        <w:pStyle w:val="Nadpis3"/>
      </w:pPr>
      <w:bookmarkStart w:id="6" w:name="_Toc422823294"/>
      <w:r w:rsidRPr="00647603">
        <w:lastRenderedPageBreak/>
        <w:t>V</w:t>
      </w:r>
      <w:r w:rsidR="007E35BE" w:rsidRPr="00647603">
        <w:t xml:space="preserve">ývoj počtu smrtelných úrazů </w:t>
      </w:r>
      <w:r w:rsidR="009F38B8" w:rsidRPr="00647603">
        <w:t xml:space="preserve">podle činností </w:t>
      </w:r>
      <w:r w:rsidR="007E35BE" w:rsidRPr="00647603">
        <w:t xml:space="preserve">od roku </w:t>
      </w:r>
      <w:r w:rsidR="00CB798C" w:rsidRPr="00647603">
        <w:t>20</w:t>
      </w:r>
      <w:r w:rsidR="00041DF1" w:rsidRPr="00647603">
        <w:t>0</w:t>
      </w:r>
      <w:r w:rsidR="00D53837">
        <w:t>4</w:t>
      </w:r>
      <w:r w:rsidR="007E35BE" w:rsidRPr="00647603">
        <w:t xml:space="preserve"> do roku </w:t>
      </w:r>
      <w:r w:rsidR="00041DF1" w:rsidRPr="00647603">
        <w:t>2014</w:t>
      </w:r>
      <w:bookmarkEnd w:id="6"/>
    </w:p>
    <w:p w:rsidR="00EB318B" w:rsidRPr="006203DD" w:rsidRDefault="007E35BE" w:rsidP="006203DD">
      <w:pPr>
        <w:ind w:left="1134" w:hanging="1134"/>
        <w:jc w:val="left"/>
        <w:rPr>
          <w:rStyle w:val="Nzevknihy"/>
        </w:rPr>
      </w:pPr>
      <w:r w:rsidRPr="006203DD">
        <w:rPr>
          <w:rStyle w:val="Nzevknihy"/>
        </w:rPr>
        <w:t xml:space="preserve">Tabulka </w:t>
      </w:r>
      <w:r w:rsidR="00077369" w:rsidRPr="006203DD">
        <w:rPr>
          <w:rStyle w:val="Nzevknihy"/>
        </w:rPr>
        <w:t>č. 2</w:t>
      </w:r>
      <w:r w:rsidR="00936B44" w:rsidRPr="006203DD">
        <w:rPr>
          <w:rStyle w:val="Nzevknihy"/>
        </w:rPr>
        <w:t xml:space="preserve"> – </w:t>
      </w:r>
      <w:r w:rsidR="006203DD">
        <w:rPr>
          <w:rStyle w:val="Nzevknihy"/>
        </w:rPr>
        <w:t>V</w:t>
      </w:r>
      <w:r w:rsidR="00936B44" w:rsidRPr="006203DD">
        <w:rPr>
          <w:rStyle w:val="Nzevknihy"/>
        </w:rPr>
        <w:t xml:space="preserve">ývoj počtu smrtelných pracovních úrazů v letech </w:t>
      </w:r>
      <w:r w:rsidR="00CB798C" w:rsidRPr="006203DD">
        <w:rPr>
          <w:rStyle w:val="Nzevknihy"/>
        </w:rPr>
        <w:t>20</w:t>
      </w:r>
      <w:r w:rsidR="00647603" w:rsidRPr="006203DD">
        <w:rPr>
          <w:rStyle w:val="Nzevknihy"/>
        </w:rPr>
        <w:t>0</w:t>
      </w:r>
      <w:r w:rsidR="00D53837" w:rsidRPr="006203DD">
        <w:rPr>
          <w:rStyle w:val="Nzevknihy"/>
        </w:rPr>
        <w:t>4</w:t>
      </w:r>
      <w:r w:rsidR="00936B44" w:rsidRPr="006203DD">
        <w:rPr>
          <w:rStyle w:val="Nzevknihy"/>
        </w:rPr>
        <w:t xml:space="preserve"> </w:t>
      </w:r>
      <w:r w:rsidR="00711903" w:rsidRPr="006203DD">
        <w:rPr>
          <w:rStyle w:val="Nzevknihy"/>
        </w:rPr>
        <w:t>–</w:t>
      </w:r>
      <w:r w:rsidR="00936B44" w:rsidRPr="006203DD">
        <w:rPr>
          <w:rStyle w:val="Nzevknihy"/>
        </w:rPr>
        <w:t xml:space="preserve"> </w:t>
      </w:r>
      <w:r w:rsidR="00647603" w:rsidRPr="006203DD">
        <w:rPr>
          <w:rStyle w:val="Nzevknihy"/>
        </w:rPr>
        <w:t>2014</w:t>
      </w:r>
      <w:r w:rsidR="00711903" w:rsidRPr="006203DD">
        <w:rPr>
          <w:rStyle w:val="Nzevknihy"/>
        </w:rPr>
        <w:t xml:space="preserve"> podle činností</w:t>
      </w:r>
    </w:p>
    <w:tbl>
      <w:tblPr>
        <w:tblW w:w="494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4"/>
        <w:gridCol w:w="803"/>
        <w:gridCol w:w="708"/>
        <w:gridCol w:w="708"/>
        <w:gridCol w:w="708"/>
        <w:gridCol w:w="708"/>
        <w:gridCol w:w="706"/>
        <w:gridCol w:w="685"/>
        <w:gridCol w:w="685"/>
        <w:gridCol w:w="683"/>
        <w:gridCol w:w="685"/>
        <w:gridCol w:w="679"/>
      </w:tblGrid>
      <w:tr w:rsidR="00D53837" w:rsidRPr="00D12FE7" w:rsidTr="006203DD">
        <w:trPr>
          <w:trHeight w:val="262"/>
          <w:jc w:val="center"/>
        </w:trPr>
        <w:tc>
          <w:tcPr>
            <w:tcW w:w="1046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28418A">
            <w:pPr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Ukazatel</w:t>
            </w:r>
          </w:p>
        </w:tc>
        <w:tc>
          <w:tcPr>
            <w:tcW w:w="40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2004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2005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2006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2007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2008</w:t>
            </w:r>
          </w:p>
        </w:tc>
        <w:tc>
          <w:tcPr>
            <w:tcW w:w="36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2009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2010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2011</w:t>
            </w:r>
          </w:p>
        </w:tc>
        <w:tc>
          <w:tcPr>
            <w:tcW w:w="348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2012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2013</w:t>
            </w:r>
          </w:p>
        </w:tc>
        <w:tc>
          <w:tcPr>
            <w:tcW w:w="346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2014</w:t>
            </w:r>
          </w:p>
        </w:tc>
      </w:tr>
      <w:tr w:rsidR="00D53837" w:rsidRPr="00D12FE7" w:rsidTr="006203DD">
        <w:trPr>
          <w:trHeight w:val="245"/>
          <w:jc w:val="center"/>
        </w:trPr>
        <w:tc>
          <w:tcPr>
            <w:tcW w:w="1046" w:type="pct"/>
            <w:tcBorders>
              <w:top w:val="single" w:sz="6" w:space="0" w:color="auto"/>
            </w:tcBorders>
          </w:tcPr>
          <w:p w:rsidR="00D53837" w:rsidRPr="00D12FE7" w:rsidRDefault="00D53837" w:rsidP="0028418A">
            <w:pPr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Černé uhlí</w:t>
            </w:r>
          </w:p>
        </w:tc>
        <w:tc>
          <w:tcPr>
            <w:tcW w:w="409" w:type="pct"/>
            <w:tcBorders>
              <w:top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361" w:type="pct"/>
            <w:tcBorders>
              <w:top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61" w:type="pct"/>
            <w:tcBorders>
              <w:top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61" w:type="pct"/>
            <w:tcBorders>
              <w:top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61" w:type="pct"/>
            <w:tcBorders>
              <w:top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60" w:type="pct"/>
            <w:tcBorders>
              <w:top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49" w:type="pct"/>
            <w:tcBorders>
              <w:top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49" w:type="pct"/>
            <w:tcBorders>
              <w:top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48" w:type="pct"/>
            <w:tcBorders>
              <w:top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49" w:type="pct"/>
            <w:tcBorders>
              <w:top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6" w:type="pct"/>
            <w:tcBorders>
              <w:top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9</w:t>
            </w:r>
          </w:p>
        </w:tc>
      </w:tr>
      <w:tr w:rsidR="00D53837" w:rsidRPr="00D12FE7" w:rsidTr="006203DD">
        <w:trPr>
          <w:trHeight w:val="245"/>
          <w:jc w:val="center"/>
        </w:trPr>
        <w:tc>
          <w:tcPr>
            <w:tcW w:w="1046" w:type="pct"/>
          </w:tcPr>
          <w:p w:rsidR="00D53837" w:rsidRPr="00D12FE7" w:rsidRDefault="00D53837" w:rsidP="0028418A">
            <w:pPr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Hnědé uhlí</w:t>
            </w:r>
          </w:p>
        </w:tc>
        <w:tc>
          <w:tcPr>
            <w:tcW w:w="409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61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1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1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1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0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9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9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8" w:type="pct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9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6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</w:t>
            </w:r>
          </w:p>
        </w:tc>
      </w:tr>
      <w:tr w:rsidR="00D53837" w:rsidRPr="00D12FE7" w:rsidTr="006203DD">
        <w:trPr>
          <w:trHeight w:val="262"/>
          <w:jc w:val="center"/>
        </w:trPr>
        <w:tc>
          <w:tcPr>
            <w:tcW w:w="1046" w:type="pct"/>
          </w:tcPr>
          <w:p w:rsidR="00D53837" w:rsidRPr="00D12FE7" w:rsidRDefault="00D53837" w:rsidP="0028418A">
            <w:pPr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Rudy</w:t>
            </w:r>
          </w:p>
        </w:tc>
        <w:tc>
          <w:tcPr>
            <w:tcW w:w="409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61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61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61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61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60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9" w:type="pct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9" w:type="pct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8" w:type="pct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9" w:type="pct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46" w:type="pct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D53837" w:rsidRPr="00D12FE7" w:rsidTr="006203DD">
        <w:trPr>
          <w:trHeight w:val="245"/>
          <w:jc w:val="center"/>
        </w:trPr>
        <w:tc>
          <w:tcPr>
            <w:tcW w:w="1046" w:type="pct"/>
            <w:tcBorders>
              <w:bottom w:val="single" w:sz="6" w:space="0" w:color="auto"/>
            </w:tcBorders>
          </w:tcPr>
          <w:p w:rsidR="00D53837" w:rsidRPr="00D12FE7" w:rsidRDefault="00D53837" w:rsidP="0028418A">
            <w:pPr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Ostatní</w:t>
            </w:r>
          </w:p>
        </w:tc>
        <w:tc>
          <w:tcPr>
            <w:tcW w:w="409" w:type="pct"/>
            <w:tcBorders>
              <w:bottom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1" w:type="pct"/>
            <w:tcBorders>
              <w:bottom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61" w:type="pct"/>
            <w:tcBorders>
              <w:bottom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1" w:type="pct"/>
            <w:tcBorders>
              <w:bottom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1" w:type="pct"/>
            <w:tcBorders>
              <w:bottom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60" w:type="pct"/>
            <w:tcBorders>
              <w:bottom w:val="single" w:sz="6" w:space="0" w:color="auto"/>
            </w:tcBorders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48" w:type="pct"/>
            <w:tcBorders>
              <w:bottom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6" w:type="pct"/>
            <w:tcBorders>
              <w:bottom w:val="single" w:sz="6" w:space="0" w:color="auto"/>
            </w:tcBorders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D53837" w:rsidRPr="00D12FE7" w:rsidTr="006203DD">
        <w:trPr>
          <w:trHeight w:val="262"/>
          <w:jc w:val="center"/>
        </w:trPr>
        <w:tc>
          <w:tcPr>
            <w:tcW w:w="1046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</w:tcPr>
          <w:p w:rsidR="00D53837" w:rsidRPr="00D12FE7" w:rsidRDefault="00D53837" w:rsidP="0028418A">
            <w:pPr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Celkem</w:t>
            </w:r>
          </w:p>
        </w:tc>
        <w:tc>
          <w:tcPr>
            <w:tcW w:w="409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36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6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6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6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6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49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49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48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49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</w:tcPr>
          <w:p w:rsidR="00D53837" w:rsidRPr="00D12FE7" w:rsidRDefault="00D53837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11</w:t>
            </w:r>
          </w:p>
        </w:tc>
      </w:tr>
    </w:tbl>
    <w:p w:rsidR="00EB318B" w:rsidRPr="006203DD" w:rsidRDefault="008F5CDA" w:rsidP="006203DD">
      <w:pPr>
        <w:ind w:left="1134" w:hanging="1134"/>
        <w:jc w:val="left"/>
        <w:rPr>
          <w:rStyle w:val="Nzevknihy"/>
        </w:rPr>
      </w:pPr>
      <w:r w:rsidRPr="006203DD">
        <w:rPr>
          <w:rStyle w:val="Nzevknihy"/>
        </w:rPr>
        <w:t xml:space="preserve">Graf č. </w:t>
      </w:r>
      <w:r w:rsidR="00DF160E" w:rsidRPr="006203DD">
        <w:rPr>
          <w:rStyle w:val="Nzevknihy"/>
        </w:rPr>
        <w:t>6</w:t>
      </w:r>
      <w:r w:rsidRPr="006203DD">
        <w:rPr>
          <w:rStyle w:val="Nzevknihy"/>
        </w:rPr>
        <w:t xml:space="preserve"> - </w:t>
      </w:r>
      <w:r w:rsidR="006203DD" w:rsidRPr="006203DD">
        <w:rPr>
          <w:rStyle w:val="Nzevknihy"/>
        </w:rPr>
        <w:t>G</w:t>
      </w:r>
      <w:r w:rsidR="00EB318B" w:rsidRPr="006203DD">
        <w:rPr>
          <w:rStyle w:val="Nzevknihy"/>
        </w:rPr>
        <w:t>raf vývoje smrtelných pracovních úrazů v letech 200</w:t>
      </w:r>
      <w:r w:rsidR="00CD5E43" w:rsidRPr="006203DD">
        <w:rPr>
          <w:rStyle w:val="Nzevknihy"/>
        </w:rPr>
        <w:t>4</w:t>
      </w:r>
      <w:r w:rsidR="00EB318B" w:rsidRPr="006203DD">
        <w:rPr>
          <w:rStyle w:val="Nzevknihy"/>
        </w:rPr>
        <w:t xml:space="preserve"> – 201</w:t>
      </w:r>
      <w:r w:rsidR="00041DF1" w:rsidRPr="006203DD">
        <w:rPr>
          <w:rStyle w:val="Nzevknihy"/>
        </w:rPr>
        <w:t>4</w:t>
      </w:r>
      <w:r w:rsidR="00EB318B" w:rsidRPr="006203DD">
        <w:rPr>
          <w:rStyle w:val="Nzevknihy"/>
        </w:rPr>
        <w:t xml:space="preserve"> podle činností</w:t>
      </w:r>
    </w:p>
    <w:p w:rsidR="00743F2C" w:rsidRDefault="00DF5670" w:rsidP="0028418A">
      <w:r>
        <w:rPr>
          <w:noProof/>
        </w:rPr>
        <w:drawing>
          <wp:inline distT="0" distB="0" distL="0" distR="0">
            <wp:extent cx="5831416" cy="4258734"/>
            <wp:effectExtent l="19050" t="0" r="16934" b="8466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64B0" w:rsidRDefault="0030157B" w:rsidP="006203DD">
      <w:r w:rsidRPr="00647603">
        <w:lastRenderedPageBreak/>
        <w:t xml:space="preserve">Z celkového počtu </w:t>
      </w:r>
      <w:r w:rsidR="00C03D55" w:rsidRPr="00647603">
        <w:t>11</w:t>
      </w:r>
      <w:r w:rsidRPr="00647603">
        <w:t xml:space="preserve"> smrtelných pracovních úrazů </w:t>
      </w:r>
      <w:r w:rsidR="00C03D55" w:rsidRPr="00647603">
        <w:t>došlo k</w:t>
      </w:r>
      <w:r w:rsidR="009C0F1B" w:rsidRPr="00647603">
        <w:t xml:space="preserve"> </w:t>
      </w:r>
      <w:r w:rsidR="00C03D55" w:rsidRPr="00647603">
        <w:t>9</w:t>
      </w:r>
      <w:r w:rsidR="009C0F1B" w:rsidRPr="00647603">
        <w:t xml:space="preserve"> smrtelným</w:t>
      </w:r>
      <w:r w:rsidRPr="00647603">
        <w:t xml:space="preserve"> úrazům </w:t>
      </w:r>
      <w:r w:rsidR="00F3338B">
        <w:t>při</w:t>
      </w:r>
      <w:r w:rsidR="00834C12" w:rsidRPr="00647603">
        <w:t> </w:t>
      </w:r>
      <w:r w:rsidR="00F3338B">
        <w:t>hlubinné těžbě</w:t>
      </w:r>
      <w:r w:rsidR="00834C12" w:rsidRPr="00647603">
        <w:t xml:space="preserve"> </w:t>
      </w:r>
      <w:r w:rsidR="00F3338B">
        <w:t>nebo úpravě</w:t>
      </w:r>
      <w:r w:rsidRPr="00647603">
        <w:t xml:space="preserve"> černého uhlí</w:t>
      </w:r>
      <w:r w:rsidR="005D5832" w:rsidRPr="00647603">
        <w:t xml:space="preserve">, </w:t>
      </w:r>
      <w:r w:rsidR="00834C12" w:rsidRPr="00647603">
        <w:t>k 1</w:t>
      </w:r>
      <w:r w:rsidR="00834775" w:rsidRPr="00647603">
        <w:t xml:space="preserve"> smrtelnému úrazu</w:t>
      </w:r>
      <w:r w:rsidR="00685778" w:rsidRPr="00647603">
        <w:t xml:space="preserve"> </w:t>
      </w:r>
      <w:r w:rsidR="00F3338B">
        <w:t>při</w:t>
      </w:r>
      <w:r w:rsidR="00D30C70" w:rsidRPr="00647603">
        <w:t xml:space="preserve"> </w:t>
      </w:r>
      <w:r w:rsidR="00F3338B">
        <w:t>povrchovém</w:t>
      </w:r>
      <w:r w:rsidR="008E427C">
        <w:t xml:space="preserve"> dobývání</w:t>
      </w:r>
      <w:r w:rsidR="00685778" w:rsidRPr="00647603">
        <w:t xml:space="preserve"> hnědého uhlí</w:t>
      </w:r>
      <w:r w:rsidR="00834775" w:rsidRPr="00647603">
        <w:t xml:space="preserve"> </w:t>
      </w:r>
      <w:r w:rsidR="002E1C16">
        <w:br/>
      </w:r>
      <w:r w:rsidR="00834775" w:rsidRPr="00647603">
        <w:t>a k 1 smrtelnému úrazu  </w:t>
      </w:r>
      <w:r w:rsidR="00F3338B">
        <w:t>při</w:t>
      </w:r>
      <w:r w:rsidR="00834775" w:rsidRPr="00647603">
        <w:t xml:space="preserve"> hlubinn</w:t>
      </w:r>
      <w:r w:rsidR="00F3338B">
        <w:t>ém dobývání</w:t>
      </w:r>
      <w:r w:rsidR="00834775" w:rsidRPr="00647603">
        <w:t xml:space="preserve"> hnědého uhlí.</w:t>
      </w:r>
      <w:r w:rsidR="00C75B55" w:rsidRPr="00647603">
        <w:t xml:space="preserve"> </w:t>
      </w:r>
    </w:p>
    <w:p w:rsidR="00170C8F" w:rsidRPr="006203DD" w:rsidRDefault="00170C8F" w:rsidP="006203DD">
      <w:pPr>
        <w:ind w:left="1560" w:hanging="1560"/>
        <w:jc w:val="left"/>
        <w:rPr>
          <w:rStyle w:val="Nzevknihy"/>
        </w:rPr>
      </w:pPr>
      <w:r w:rsidRPr="006203DD">
        <w:rPr>
          <w:rStyle w:val="Nzevknihy"/>
        </w:rPr>
        <w:t xml:space="preserve">Tabulka č. </w:t>
      </w:r>
      <w:r w:rsidR="00DF160E" w:rsidRPr="006203DD">
        <w:rPr>
          <w:rStyle w:val="Nzevknihy"/>
        </w:rPr>
        <w:t>3</w:t>
      </w:r>
      <w:r w:rsidRPr="006203DD">
        <w:rPr>
          <w:rStyle w:val="Nzevknihy"/>
        </w:rPr>
        <w:t xml:space="preserve"> - </w:t>
      </w:r>
      <w:r w:rsidR="006203DD" w:rsidRPr="006203DD">
        <w:rPr>
          <w:rStyle w:val="Nzevknihy"/>
        </w:rPr>
        <w:t>S</w:t>
      </w:r>
      <w:r w:rsidRPr="006203DD">
        <w:rPr>
          <w:rStyle w:val="Nzevknihy"/>
        </w:rPr>
        <w:t xml:space="preserve">mrtelná úrazovost </w:t>
      </w:r>
      <w:r w:rsidR="005F460C">
        <w:rPr>
          <w:rStyle w:val="Nzevknihy"/>
        </w:rPr>
        <w:t>a počet pracovníků při</w:t>
      </w:r>
      <w:r w:rsidRPr="006203DD">
        <w:rPr>
          <w:rStyle w:val="Nzevknihy"/>
        </w:rPr>
        <w:t xml:space="preserve"> těžbě černého </w:t>
      </w:r>
      <w:r w:rsidR="005F460C">
        <w:rPr>
          <w:rStyle w:val="Nzevknihy"/>
        </w:rPr>
        <w:t xml:space="preserve">uhlí </w:t>
      </w:r>
      <w:r w:rsidRPr="006203DD">
        <w:rPr>
          <w:rStyle w:val="Nzevknihy"/>
        </w:rPr>
        <w:t xml:space="preserve">v letech </w:t>
      </w:r>
      <w:r w:rsidR="005F460C">
        <w:rPr>
          <w:rStyle w:val="Nzevknihy"/>
        </w:rPr>
        <w:br/>
      </w:r>
      <w:r w:rsidRPr="006203DD">
        <w:rPr>
          <w:rStyle w:val="Nzevknihy"/>
        </w:rPr>
        <w:t>200</w:t>
      </w:r>
      <w:r w:rsidR="00DF160E" w:rsidRPr="006203DD">
        <w:rPr>
          <w:rStyle w:val="Nzevknihy"/>
        </w:rPr>
        <w:t>4</w:t>
      </w:r>
      <w:r w:rsidRPr="006203DD">
        <w:rPr>
          <w:rStyle w:val="Nzevknihy"/>
        </w:rPr>
        <w:t xml:space="preserve"> – 2014</w:t>
      </w:r>
    </w:p>
    <w:tbl>
      <w:tblPr>
        <w:tblW w:w="521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828"/>
        <w:gridCol w:w="828"/>
        <w:gridCol w:w="828"/>
        <w:gridCol w:w="830"/>
        <w:gridCol w:w="828"/>
        <w:gridCol w:w="828"/>
        <w:gridCol w:w="828"/>
        <w:gridCol w:w="828"/>
        <w:gridCol w:w="828"/>
        <w:gridCol w:w="828"/>
        <w:gridCol w:w="826"/>
      </w:tblGrid>
      <w:tr w:rsidR="006203DD" w:rsidRPr="00D12FE7" w:rsidTr="006203DD">
        <w:trPr>
          <w:trHeight w:val="264"/>
        </w:trPr>
        <w:tc>
          <w:tcPr>
            <w:tcW w:w="567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Rok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2004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2005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2006</w:t>
            </w:r>
          </w:p>
        </w:tc>
        <w:tc>
          <w:tcPr>
            <w:tcW w:w="404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2007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2008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2009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2010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2011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2012</w:t>
            </w:r>
          </w:p>
        </w:tc>
        <w:tc>
          <w:tcPr>
            <w:tcW w:w="403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2013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2014</w:t>
            </w:r>
          </w:p>
        </w:tc>
      </w:tr>
      <w:tr w:rsidR="006203DD" w:rsidRPr="00D12FE7" w:rsidTr="006203DD">
        <w:trPr>
          <w:trHeight w:val="250"/>
        </w:trPr>
        <w:tc>
          <w:tcPr>
            <w:tcW w:w="567" w:type="pct"/>
            <w:tcBorders>
              <w:top w:val="single" w:sz="6" w:space="0" w:color="auto"/>
            </w:tcBorders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 xml:space="preserve">Těžba </w:t>
            </w:r>
            <w:r w:rsidR="006203DD" w:rsidRPr="00D12FE7">
              <w:rPr>
                <w:sz w:val="22"/>
                <w:szCs w:val="22"/>
              </w:rPr>
              <w:br/>
            </w:r>
            <w:r w:rsidRPr="00D12FE7">
              <w:rPr>
                <w:sz w:val="22"/>
                <w:szCs w:val="22"/>
              </w:rPr>
              <w:t>(mil. tun)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13,3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13,2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14,3</w:t>
            </w:r>
          </w:p>
        </w:tc>
        <w:tc>
          <w:tcPr>
            <w:tcW w:w="404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12,9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12,7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11,0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11,6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11,5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11,4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10</w:t>
            </w:r>
            <w:r w:rsidR="006203DD" w:rsidRPr="00D12FE7">
              <w:rPr>
                <w:sz w:val="22"/>
                <w:szCs w:val="22"/>
              </w:rPr>
              <w:t>,0</w:t>
            </w:r>
          </w:p>
        </w:tc>
        <w:tc>
          <w:tcPr>
            <w:tcW w:w="402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11,5</w:t>
            </w:r>
          </w:p>
        </w:tc>
      </w:tr>
      <w:tr w:rsidR="006203DD" w:rsidRPr="00D12FE7" w:rsidTr="006203DD">
        <w:trPr>
          <w:trHeight w:val="250"/>
        </w:trPr>
        <w:tc>
          <w:tcPr>
            <w:tcW w:w="567" w:type="pct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Počet</w:t>
            </w:r>
            <w:r w:rsidR="006203DD" w:rsidRPr="00D12FE7">
              <w:rPr>
                <w:sz w:val="22"/>
                <w:szCs w:val="22"/>
              </w:rPr>
              <w:t xml:space="preserve"> </w:t>
            </w:r>
            <w:r w:rsidRPr="00D12FE7">
              <w:rPr>
                <w:sz w:val="22"/>
                <w:szCs w:val="22"/>
              </w:rPr>
              <w:t>pracovníků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21 615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20 730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20 403</w:t>
            </w:r>
          </w:p>
        </w:tc>
        <w:tc>
          <w:tcPr>
            <w:tcW w:w="404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18 679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17 986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16 205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15 989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16 226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15 988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14 183</w:t>
            </w:r>
          </w:p>
        </w:tc>
        <w:tc>
          <w:tcPr>
            <w:tcW w:w="402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12106</w:t>
            </w:r>
          </w:p>
        </w:tc>
      </w:tr>
      <w:tr w:rsidR="006203DD" w:rsidRPr="00D12FE7" w:rsidTr="006203DD">
        <w:trPr>
          <w:trHeight w:val="264"/>
        </w:trPr>
        <w:tc>
          <w:tcPr>
            <w:tcW w:w="567" w:type="pct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Počet smrtelných úrazů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14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404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7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5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5</w:t>
            </w:r>
          </w:p>
        </w:tc>
        <w:tc>
          <w:tcPr>
            <w:tcW w:w="403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9</w:t>
            </w:r>
          </w:p>
        </w:tc>
      </w:tr>
      <w:tr w:rsidR="006203DD" w:rsidRPr="00D12FE7" w:rsidTr="006203DD">
        <w:trPr>
          <w:trHeight w:val="264"/>
        </w:trPr>
        <w:tc>
          <w:tcPr>
            <w:tcW w:w="56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 xml:space="preserve">Počet smrtelných úrazů na </w:t>
            </w:r>
            <w:r w:rsidR="006203DD" w:rsidRPr="00D12FE7">
              <w:rPr>
                <w:sz w:val="22"/>
                <w:szCs w:val="22"/>
              </w:rPr>
              <w:br/>
            </w:r>
            <w:smartTag w:uri="urn:schemas-microsoft-com:office:smarttags" w:element="metricconverter">
              <w:smartTagPr>
                <w:attr w:name="ProductID" w:val="1 mil"/>
              </w:smartTagPr>
              <w:r w:rsidRPr="00D12FE7">
                <w:rPr>
                  <w:sz w:val="22"/>
                  <w:szCs w:val="22"/>
                </w:rPr>
                <w:t>1 mil</w:t>
              </w:r>
            </w:smartTag>
            <w:r w:rsidRPr="00D12FE7">
              <w:rPr>
                <w:sz w:val="22"/>
                <w:szCs w:val="22"/>
              </w:rPr>
              <w:t>. tun vytěženého uhlí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1,05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0,45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0,21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0,31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0,55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0,27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0,26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0,43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0,44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0,78</w:t>
            </w:r>
          </w:p>
        </w:tc>
      </w:tr>
      <w:tr w:rsidR="006203DD" w:rsidRPr="00D12FE7" w:rsidTr="006203DD">
        <w:trPr>
          <w:trHeight w:val="264"/>
        </w:trPr>
        <w:tc>
          <w:tcPr>
            <w:tcW w:w="56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Počet smrtelných pracovních úrazů na 1000 pracovníků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0,648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0,289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0,147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0,214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0,389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0,185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0,187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0,308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0,312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0,14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B2C" w:rsidRPr="00D12FE7" w:rsidRDefault="00965B2C" w:rsidP="006203DD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0,59</w:t>
            </w:r>
          </w:p>
        </w:tc>
      </w:tr>
    </w:tbl>
    <w:p w:rsidR="00170C8F" w:rsidRDefault="00F3338B" w:rsidP="0028418A">
      <w:r>
        <w:t>Nejvyšší počet smrtelných úrazů při dobývání černého uhlí od roku 2004, při dlouhodobě nejnižším počtu zaměstnanců</w:t>
      </w:r>
      <w:r w:rsidR="00E50969">
        <w:t>,</w:t>
      </w:r>
      <w:r>
        <w:t xml:space="preserve"> </w:t>
      </w:r>
      <w:r w:rsidR="005F460C">
        <w:t>byl významně ovlivněn</w:t>
      </w:r>
      <w:r>
        <w:t> hromadn</w:t>
      </w:r>
      <w:r w:rsidR="005F460C">
        <w:t>ým</w:t>
      </w:r>
      <w:r>
        <w:t xml:space="preserve"> smrteln</w:t>
      </w:r>
      <w:r w:rsidR="005F460C">
        <w:t>ým úrazem</w:t>
      </w:r>
      <w:r>
        <w:t xml:space="preserve"> </w:t>
      </w:r>
      <w:r w:rsidR="00B74D4E">
        <w:t xml:space="preserve">tří osob </w:t>
      </w:r>
      <w:r w:rsidR="00B454F0">
        <w:t>způsobený důlním otřesem</w:t>
      </w:r>
      <w:r w:rsidR="00B74D4E">
        <w:t>. Přestože se úspěšně daří důlním otřesům předcházet, nelze je ani při vysoké úrovni boje proti nim vyloučit, neboť se jedná o přírodní projevy masívu a do značné míry k nim dochází stochasticky</w:t>
      </w:r>
      <w:r w:rsidR="00170C8F">
        <w:t>.</w:t>
      </w:r>
    </w:p>
    <w:p w:rsidR="006203DD" w:rsidRDefault="006203DD">
      <w:pPr>
        <w:suppressAutoHyphens w:val="0"/>
        <w:autoSpaceDE/>
        <w:autoSpaceDN/>
        <w:adjustRightInd/>
        <w:spacing w:before="0" w:after="0"/>
        <w:ind w:firstLine="0"/>
      </w:pPr>
      <w:r>
        <w:br w:type="page"/>
      </w:r>
    </w:p>
    <w:p w:rsidR="00170C8F" w:rsidRPr="006203DD" w:rsidRDefault="00170C8F" w:rsidP="006203DD">
      <w:pPr>
        <w:ind w:left="1560" w:hanging="1560"/>
        <w:jc w:val="left"/>
        <w:rPr>
          <w:rStyle w:val="Nzevknihy"/>
        </w:rPr>
      </w:pPr>
      <w:r w:rsidRPr="006203DD">
        <w:rPr>
          <w:rStyle w:val="Nzevknihy"/>
        </w:rPr>
        <w:lastRenderedPageBreak/>
        <w:t xml:space="preserve">Tabulka č. </w:t>
      </w:r>
      <w:r w:rsidR="00DF160E" w:rsidRPr="006203DD">
        <w:rPr>
          <w:rStyle w:val="Nzevknihy"/>
        </w:rPr>
        <w:t>4</w:t>
      </w:r>
      <w:r w:rsidRPr="006203DD">
        <w:rPr>
          <w:rStyle w:val="Nzevknihy"/>
        </w:rPr>
        <w:t xml:space="preserve"> - </w:t>
      </w:r>
      <w:r w:rsidR="005F460C">
        <w:rPr>
          <w:rStyle w:val="Nzevknihy"/>
        </w:rPr>
        <w:t>S</w:t>
      </w:r>
      <w:r w:rsidRPr="006203DD">
        <w:rPr>
          <w:rStyle w:val="Nzevknihy"/>
        </w:rPr>
        <w:t xml:space="preserve">mrtelná úrazovost </w:t>
      </w:r>
      <w:r w:rsidR="005F460C">
        <w:rPr>
          <w:rStyle w:val="Nzevknihy"/>
        </w:rPr>
        <w:t>a počet pracovníků při</w:t>
      </w:r>
      <w:r w:rsidRPr="006203DD">
        <w:rPr>
          <w:rStyle w:val="Nzevknihy"/>
        </w:rPr>
        <w:t xml:space="preserve"> těžbě hnědého uhlí v letech </w:t>
      </w:r>
      <w:r w:rsidR="005F460C">
        <w:rPr>
          <w:rStyle w:val="Nzevknihy"/>
        </w:rPr>
        <w:br/>
      </w:r>
      <w:r w:rsidRPr="006203DD">
        <w:rPr>
          <w:rStyle w:val="Nzevknihy"/>
        </w:rPr>
        <w:t>200</w:t>
      </w:r>
      <w:r w:rsidR="00DF160E" w:rsidRPr="006203DD">
        <w:rPr>
          <w:rStyle w:val="Nzevknihy"/>
        </w:rPr>
        <w:t>4</w:t>
      </w:r>
      <w:r w:rsidRPr="006203DD">
        <w:rPr>
          <w:rStyle w:val="Nzevknihy"/>
        </w:rPr>
        <w:t xml:space="preserve"> – 2014</w:t>
      </w:r>
    </w:p>
    <w:tbl>
      <w:tblPr>
        <w:tblW w:w="498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7"/>
        <w:gridCol w:w="711"/>
        <w:gridCol w:w="710"/>
        <w:gridCol w:w="710"/>
        <w:gridCol w:w="710"/>
        <w:gridCol w:w="708"/>
        <w:gridCol w:w="710"/>
        <w:gridCol w:w="852"/>
        <w:gridCol w:w="708"/>
        <w:gridCol w:w="710"/>
        <w:gridCol w:w="708"/>
        <w:gridCol w:w="697"/>
      </w:tblGrid>
      <w:tr w:rsidR="00965B2C" w:rsidRPr="00D12FE7" w:rsidTr="00D12FE7">
        <w:trPr>
          <w:trHeight w:val="264"/>
        </w:trPr>
        <w:tc>
          <w:tcPr>
            <w:tcW w:w="956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Rok</w:t>
            </w:r>
          </w:p>
        </w:tc>
        <w:tc>
          <w:tcPr>
            <w:tcW w:w="362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2004</w:t>
            </w:r>
          </w:p>
        </w:tc>
        <w:tc>
          <w:tcPr>
            <w:tcW w:w="362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2005</w:t>
            </w:r>
          </w:p>
        </w:tc>
        <w:tc>
          <w:tcPr>
            <w:tcW w:w="362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2006</w:t>
            </w:r>
          </w:p>
        </w:tc>
        <w:tc>
          <w:tcPr>
            <w:tcW w:w="362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2007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2008</w:t>
            </w:r>
          </w:p>
        </w:tc>
        <w:tc>
          <w:tcPr>
            <w:tcW w:w="362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2009</w:t>
            </w:r>
          </w:p>
        </w:tc>
        <w:tc>
          <w:tcPr>
            <w:tcW w:w="434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2010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2011</w:t>
            </w:r>
          </w:p>
        </w:tc>
        <w:tc>
          <w:tcPr>
            <w:tcW w:w="362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2012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2013</w:t>
            </w:r>
          </w:p>
        </w:tc>
        <w:tc>
          <w:tcPr>
            <w:tcW w:w="356" w:type="pct"/>
            <w:tcBorders>
              <w:top w:val="single" w:sz="8" w:space="0" w:color="auto"/>
              <w:bottom w:val="single" w:sz="6" w:space="0" w:color="auto"/>
            </w:tcBorders>
            <w:shd w:val="clear" w:color="FFFF00" w:fill="48723E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2014</w:t>
            </w:r>
          </w:p>
        </w:tc>
      </w:tr>
      <w:tr w:rsidR="00965B2C" w:rsidRPr="00D12FE7" w:rsidTr="00D12FE7">
        <w:trPr>
          <w:trHeight w:val="250"/>
        </w:trPr>
        <w:tc>
          <w:tcPr>
            <w:tcW w:w="956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Těžba (mil. tun)</w:t>
            </w:r>
          </w:p>
        </w:tc>
        <w:tc>
          <w:tcPr>
            <w:tcW w:w="362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44,5</w:t>
            </w:r>
          </w:p>
        </w:tc>
        <w:tc>
          <w:tcPr>
            <w:tcW w:w="362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44,6</w:t>
            </w:r>
          </w:p>
        </w:tc>
        <w:tc>
          <w:tcPr>
            <w:tcW w:w="362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44,9</w:t>
            </w:r>
          </w:p>
        </w:tc>
        <w:tc>
          <w:tcPr>
            <w:tcW w:w="362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45,7</w:t>
            </w:r>
          </w:p>
        </w:tc>
        <w:tc>
          <w:tcPr>
            <w:tcW w:w="361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43,4</w:t>
            </w:r>
          </w:p>
        </w:tc>
        <w:tc>
          <w:tcPr>
            <w:tcW w:w="362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41,4</w:t>
            </w:r>
          </w:p>
        </w:tc>
        <w:tc>
          <w:tcPr>
            <w:tcW w:w="434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40,1</w:t>
            </w:r>
          </w:p>
        </w:tc>
        <w:tc>
          <w:tcPr>
            <w:tcW w:w="361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42,9</w:t>
            </w:r>
          </w:p>
        </w:tc>
        <w:tc>
          <w:tcPr>
            <w:tcW w:w="362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39,9</w:t>
            </w:r>
          </w:p>
        </w:tc>
        <w:tc>
          <w:tcPr>
            <w:tcW w:w="361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36,8</w:t>
            </w:r>
          </w:p>
        </w:tc>
        <w:tc>
          <w:tcPr>
            <w:tcW w:w="356" w:type="pct"/>
            <w:tcBorders>
              <w:top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35,5</w:t>
            </w:r>
          </w:p>
        </w:tc>
      </w:tr>
      <w:tr w:rsidR="00965B2C" w:rsidRPr="00D12FE7" w:rsidTr="00D12FE7">
        <w:trPr>
          <w:trHeight w:val="250"/>
        </w:trPr>
        <w:tc>
          <w:tcPr>
            <w:tcW w:w="956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Počet pracovníků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11 884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11 392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10 947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10 700</w:t>
            </w:r>
          </w:p>
        </w:tc>
        <w:tc>
          <w:tcPr>
            <w:tcW w:w="361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8 533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8 279</w:t>
            </w:r>
          </w:p>
        </w:tc>
        <w:tc>
          <w:tcPr>
            <w:tcW w:w="434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7 677</w:t>
            </w:r>
          </w:p>
        </w:tc>
        <w:tc>
          <w:tcPr>
            <w:tcW w:w="361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7 067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6 921</w:t>
            </w:r>
          </w:p>
        </w:tc>
        <w:tc>
          <w:tcPr>
            <w:tcW w:w="361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6 738</w:t>
            </w:r>
          </w:p>
        </w:tc>
        <w:tc>
          <w:tcPr>
            <w:tcW w:w="356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6 450</w:t>
            </w:r>
          </w:p>
        </w:tc>
      </w:tr>
      <w:tr w:rsidR="00965B2C" w:rsidRPr="00D12FE7" w:rsidTr="00D12FE7">
        <w:trPr>
          <w:trHeight w:val="264"/>
        </w:trPr>
        <w:tc>
          <w:tcPr>
            <w:tcW w:w="956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Počet smrtelných úrazů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61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</w:t>
            </w:r>
          </w:p>
        </w:tc>
        <w:tc>
          <w:tcPr>
            <w:tcW w:w="434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362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56" w:type="pct"/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</w:tr>
      <w:tr w:rsidR="00965B2C" w:rsidRPr="00D12FE7" w:rsidTr="00D12FE7">
        <w:trPr>
          <w:trHeight w:val="264"/>
        </w:trPr>
        <w:tc>
          <w:tcPr>
            <w:tcW w:w="95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 xml:space="preserve">Počet smrtelných úrazů na </w:t>
            </w:r>
            <w:smartTag w:uri="urn:schemas-microsoft-com:office:smarttags" w:element="metricconverter">
              <w:smartTagPr>
                <w:attr w:name="ProductID" w:val="1 mil"/>
              </w:smartTagPr>
              <w:r w:rsidRPr="00D12FE7">
                <w:rPr>
                  <w:sz w:val="22"/>
                  <w:szCs w:val="22"/>
                </w:rPr>
                <w:t>1 mil</w:t>
              </w:r>
            </w:smartTag>
            <w:r w:rsidRPr="00D12FE7">
              <w:rPr>
                <w:sz w:val="22"/>
                <w:szCs w:val="22"/>
              </w:rPr>
              <w:t>. tun vytěženého uhlí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0,13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0,03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0,05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0,027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0,06</w:t>
            </w:r>
          </w:p>
        </w:tc>
      </w:tr>
      <w:tr w:rsidR="00965B2C" w:rsidRPr="00D12FE7" w:rsidTr="00D12FE7">
        <w:trPr>
          <w:trHeight w:val="264"/>
        </w:trPr>
        <w:tc>
          <w:tcPr>
            <w:tcW w:w="95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Počet smrtelných pracovních úrazů na 1000 pracovníků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0,505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0,087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0,091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0,094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0,117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0,283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0,148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B2C" w:rsidRPr="00D12FE7" w:rsidRDefault="00965B2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0,31</w:t>
            </w:r>
          </w:p>
        </w:tc>
      </w:tr>
    </w:tbl>
    <w:p w:rsidR="007E35BE" w:rsidRPr="0038020A" w:rsidRDefault="006E4428" w:rsidP="00D12FE7">
      <w:pPr>
        <w:pStyle w:val="Nadpis3"/>
      </w:pPr>
      <w:bookmarkStart w:id="7" w:name="_Toc422823295"/>
      <w:r w:rsidRPr="00145ECB">
        <w:t>Přehled</w:t>
      </w:r>
      <w:r w:rsidR="007E35BE" w:rsidRPr="00145ECB">
        <w:t xml:space="preserve"> smrtelných pracovních úrazů podle zdrojů</w:t>
      </w:r>
      <w:bookmarkEnd w:id="7"/>
      <w:r w:rsidR="007E35BE" w:rsidRPr="0038020A">
        <w:t xml:space="preserve"> </w:t>
      </w:r>
    </w:p>
    <w:p w:rsidR="004A3EC6" w:rsidRDefault="00BB180D" w:rsidP="00D12FE7">
      <w:r w:rsidRPr="00145ECB">
        <w:t>Srovnání smrtelných pracovních úrazů</w:t>
      </w:r>
      <w:r w:rsidR="0051282C">
        <w:t xml:space="preserve"> podle jejich zdrojů</w:t>
      </w:r>
      <w:r w:rsidR="00C75B55" w:rsidRPr="00145ECB">
        <w:t xml:space="preserve"> je provedeno za období let </w:t>
      </w:r>
      <w:r w:rsidR="00025496">
        <w:br/>
      </w:r>
      <w:r w:rsidR="00C75B55" w:rsidRPr="00145ECB">
        <w:t>200</w:t>
      </w:r>
      <w:r w:rsidR="00DF160E">
        <w:t>4</w:t>
      </w:r>
      <w:r w:rsidRPr="00145ECB">
        <w:t xml:space="preserve"> –</w:t>
      </w:r>
      <w:r w:rsidRPr="0038020A">
        <w:t xml:space="preserve"> 201</w:t>
      </w:r>
      <w:r w:rsidR="00C75B55">
        <w:t>4</w:t>
      </w:r>
      <w:r>
        <w:t xml:space="preserve"> a</w:t>
      </w:r>
      <w:r w:rsidRPr="0038020A">
        <w:t xml:space="preserve"> </w:t>
      </w:r>
      <w:r>
        <w:t>v</w:t>
      </w:r>
      <w:r w:rsidRPr="0038020A">
        <w:t xml:space="preserve">ychází z </w:t>
      </w:r>
      <w:r w:rsidR="00C872BF">
        <w:t>NV</w:t>
      </w:r>
      <w:r w:rsidR="00D12FE7">
        <w:t xml:space="preserve"> č. 201/2010 Sb.</w:t>
      </w:r>
    </w:p>
    <w:p w:rsidR="00D12FE7" w:rsidRDefault="00D12FE7" w:rsidP="002E1C16">
      <w:r w:rsidRPr="00145ECB">
        <w:t xml:space="preserve">Z tabulky č. </w:t>
      </w:r>
      <w:r>
        <w:t>5</w:t>
      </w:r>
      <w:r w:rsidRPr="00145ECB">
        <w:t xml:space="preserve"> vyplývá, že nejčastějším zdrojem smrtelných pracovních úrazů v roce 2014 </w:t>
      </w:r>
      <w:r>
        <w:t>byly</w:t>
      </w:r>
      <w:r w:rsidRPr="00145ECB">
        <w:t xml:space="preserve"> </w:t>
      </w:r>
      <w:r>
        <w:t>„</w:t>
      </w:r>
      <w:r w:rsidRPr="00145ECB">
        <w:t>Materiál, břemena, předměty (pád, přiražení, náraz, zavalení)</w:t>
      </w:r>
      <w:r>
        <w:t>“</w:t>
      </w:r>
      <w:r w:rsidRPr="00145ECB">
        <w:t xml:space="preserve"> </w:t>
      </w:r>
      <w:r>
        <w:t xml:space="preserve">- </w:t>
      </w:r>
      <w:r w:rsidRPr="00145ECB">
        <w:t>4 smrtelné úrazy při těžbě černého uhlí</w:t>
      </w:r>
      <w:r>
        <w:t>, 1 smrtelný úraz při těžbě hnědého uhlí, dále pak</w:t>
      </w:r>
      <w:r w:rsidRPr="00145ECB">
        <w:t xml:space="preserve"> </w:t>
      </w:r>
      <w:r>
        <w:t>„</w:t>
      </w:r>
      <w:r w:rsidRPr="00145ECB">
        <w:t>Lidé, zvířata nebo přírodní živly</w:t>
      </w:r>
      <w:r>
        <w:t xml:space="preserve">“ - </w:t>
      </w:r>
      <w:r w:rsidRPr="00145ECB">
        <w:t>3 smrtelné úrazy při těžbě černého uhlí a „Ji</w:t>
      </w:r>
      <w:r>
        <w:t xml:space="preserve">ný blíže nespecifikovaný zdroj“ - </w:t>
      </w:r>
      <w:r w:rsidRPr="00145ECB">
        <w:t>2 smrtelné úrazy při těžbě černého uhlí. V</w:t>
      </w:r>
      <w:r>
        <w:t> důsledku příčiny „</w:t>
      </w:r>
      <w:r w:rsidRPr="00145ECB">
        <w:t>Kontakt se strojním zařízením nebo jeho částí</w:t>
      </w:r>
      <w:r>
        <w:t>“</w:t>
      </w:r>
      <w:r w:rsidRPr="00145ECB">
        <w:t xml:space="preserve"> byl v roce 2014 zaregistrován </w:t>
      </w:r>
      <w:r w:rsidR="0051282C">
        <w:t>1</w:t>
      </w:r>
      <w:r w:rsidRPr="00145ECB">
        <w:t xml:space="preserve"> smrtelný úraz </w:t>
      </w:r>
      <w:r>
        <w:t>při těžbě hnědého uhlí</w:t>
      </w:r>
      <w:r w:rsidRPr="00145ECB">
        <w:t>.</w:t>
      </w:r>
    </w:p>
    <w:p w:rsidR="00D12FE7" w:rsidRDefault="00D12FE7">
      <w:pPr>
        <w:suppressAutoHyphens w:val="0"/>
        <w:autoSpaceDE/>
        <w:autoSpaceDN/>
        <w:adjustRightInd/>
        <w:spacing w:before="0" w:after="0"/>
        <w:ind w:firstLine="0"/>
        <w:rPr>
          <w:rStyle w:val="Nzevknihy"/>
        </w:rPr>
      </w:pPr>
      <w:r>
        <w:rPr>
          <w:rStyle w:val="Nzevknihy"/>
        </w:rPr>
        <w:br w:type="page"/>
      </w:r>
    </w:p>
    <w:p w:rsidR="005A2F62" w:rsidRPr="00D12FE7" w:rsidRDefault="00ED77F1" w:rsidP="00D12FE7">
      <w:pPr>
        <w:ind w:left="1560" w:hanging="1560"/>
        <w:jc w:val="left"/>
        <w:rPr>
          <w:rStyle w:val="Nzevknihy"/>
        </w:rPr>
      </w:pPr>
      <w:r w:rsidRPr="00D12FE7">
        <w:rPr>
          <w:rStyle w:val="Nzevknihy"/>
        </w:rPr>
        <w:lastRenderedPageBreak/>
        <w:t xml:space="preserve">Tabulka č. </w:t>
      </w:r>
      <w:r w:rsidR="00025496" w:rsidRPr="00D12FE7">
        <w:rPr>
          <w:rStyle w:val="Nzevknihy"/>
        </w:rPr>
        <w:t>5</w:t>
      </w:r>
      <w:r w:rsidR="00711903" w:rsidRPr="00D12FE7">
        <w:rPr>
          <w:rStyle w:val="Nzevknihy"/>
        </w:rPr>
        <w:t xml:space="preserve"> - </w:t>
      </w:r>
      <w:r w:rsidR="005F460C">
        <w:rPr>
          <w:rStyle w:val="Nzevknihy"/>
        </w:rPr>
        <w:t>P</w:t>
      </w:r>
      <w:r w:rsidR="00711903" w:rsidRPr="00D12FE7">
        <w:rPr>
          <w:rStyle w:val="Nzevknihy"/>
        </w:rPr>
        <w:t xml:space="preserve">řehled smrtelných úrazů podle zdrojů </w:t>
      </w:r>
      <w:r w:rsidR="00C75B55" w:rsidRPr="00D12FE7">
        <w:rPr>
          <w:rStyle w:val="Nzevknihy"/>
        </w:rPr>
        <w:t>v letech 200</w:t>
      </w:r>
      <w:r w:rsidR="00025496" w:rsidRPr="00D12FE7">
        <w:rPr>
          <w:rStyle w:val="Nzevknihy"/>
        </w:rPr>
        <w:t>4</w:t>
      </w:r>
      <w:r w:rsidR="00711903" w:rsidRPr="00D12FE7">
        <w:rPr>
          <w:rStyle w:val="Nzevknihy"/>
        </w:rPr>
        <w:t xml:space="preserve"> </w:t>
      </w:r>
      <w:r w:rsidR="005A2F62" w:rsidRPr="00D12FE7">
        <w:rPr>
          <w:rStyle w:val="Nzevknihy"/>
        </w:rPr>
        <w:t>–</w:t>
      </w:r>
      <w:r w:rsidR="00711903" w:rsidRPr="00D12FE7">
        <w:rPr>
          <w:rStyle w:val="Nzevknihy"/>
        </w:rPr>
        <w:t xml:space="preserve"> 20</w:t>
      </w:r>
      <w:r w:rsidR="00F553C3" w:rsidRPr="00D12FE7">
        <w:rPr>
          <w:rStyle w:val="Nzevknihy"/>
        </w:rPr>
        <w:t>1</w:t>
      </w:r>
      <w:r w:rsidR="00C75B55" w:rsidRPr="00D12FE7">
        <w:rPr>
          <w:rStyle w:val="Nzevknihy"/>
        </w:rPr>
        <w:t>4</w:t>
      </w:r>
    </w:p>
    <w:tbl>
      <w:tblPr>
        <w:tblW w:w="497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584"/>
        <w:gridCol w:w="583"/>
        <w:gridCol w:w="583"/>
        <w:gridCol w:w="583"/>
        <w:gridCol w:w="583"/>
        <w:gridCol w:w="583"/>
        <w:gridCol w:w="580"/>
        <w:gridCol w:w="580"/>
        <w:gridCol w:w="580"/>
        <w:gridCol w:w="580"/>
        <w:gridCol w:w="580"/>
      </w:tblGrid>
      <w:tr w:rsidR="00025496" w:rsidRPr="00D12FE7" w:rsidTr="00D12FE7">
        <w:trPr>
          <w:trHeight w:val="470"/>
          <w:jc w:val="center"/>
        </w:trPr>
        <w:tc>
          <w:tcPr>
            <w:tcW w:w="1763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Zdroj</w:t>
            </w:r>
          </w:p>
        </w:tc>
        <w:tc>
          <w:tcPr>
            <w:tcW w:w="297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2004</w:t>
            </w:r>
          </w:p>
        </w:tc>
        <w:tc>
          <w:tcPr>
            <w:tcW w:w="296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2005</w:t>
            </w:r>
          </w:p>
        </w:tc>
        <w:tc>
          <w:tcPr>
            <w:tcW w:w="296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2006</w:t>
            </w:r>
          </w:p>
        </w:tc>
        <w:tc>
          <w:tcPr>
            <w:tcW w:w="296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2007</w:t>
            </w:r>
          </w:p>
        </w:tc>
        <w:tc>
          <w:tcPr>
            <w:tcW w:w="296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2008</w:t>
            </w:r>
          </w:p>
        </w:tc>
        <w:tc>
          <w:tcPr>
            <w:tcW w:w="296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2009</w:t>
            </w:r>
          </w:p>
        </w:tc>
        <w:tc>
          <w:tcPr>
            <w:tcW w:w="294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2010</w:t>
            </w:r>
          </w:p>
        </w:tc>
        <w:tc>
          <w:tcPr>
            <w:tcW w:w="294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2011</w:t>
            </w:r>
          </w:p>
        </w:tc>
        <w:tc>
          <w:tcPr>
            <w:tcW w:w="294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2012</w:t>
            </w:r>
          </w:p>
        </w:tc>
        <w:tc>
          <w:tcPr>
            <w:tcW w:w="29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2013</w:t>
            </w:r>
          </w:p>
        </w:tc>
        <w:tc>
          <w:tcPr>
            <w:tcW w:w="287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2014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I. Dopravní prostředek</w:t>
            </w:r>
          </w:p>
        </w:tc>
        <w:tc>
          <w:tcPr>
            <w:tcW w:w="297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vAlign w:val="center"/>
          </w:tcPr>
          <w:p w:rsidR="00025496" w:rsidRPr="00D12FE7" w:rsidRDefault="00025496" w:rsidP="00B454F0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II. Kontakt se strojním zařízením nebo jeho částí;</w:t>
            </w:r>
            <w:r w:rsidR="00B454F0">
              <w:rPr>
                <w:sz w:val="22"/>
                <w:szCs w:val="22"/>
              </w:rPr>
              <w:t xml:space="preserve"> </w:t>
            </w:r>
            <w:r w:rsidRPr="00D12FE7">
              <w:rPr>
                <w:sz w:val="22"/>
                <w:szCs w:val="22"/>
              </w:rPr>
              <w:t>Stroje a zařízení přenosná a mobilní</w:t>
            </w:r>
          </w:p>
        </w:tc>
        <w:tc>
          <w:tcPr>
            <w:tcW w:w="29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290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vAlign w:val="center"/>
          </w:tcPr>
          <w:p w:rsidR="00025496" w:rsidRPr="00D12FE7" w:rsidRDefault="00025496" w:rsidP="00B454F0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III. Materiál, břemena, předměty (pád, přiražení, náraz, zavalení, odlétnutí);</w:t>
            </w:r>
            <w:r w:rsidR="00B454F0">
              <w:rPr>
                <w:sz w:val="22"/>
                <w:szCs w:val="22"/>
              </w:rPr>
              <w:t xml:space="preserve"> </w:t>
            </w:r>
            <w:r w:rsidRPr="00D12FE7">
              <w:rPr>
                <w:sz w:val="22"/>
                <w:szCs w:val="22"/>
              </w:rPr>
              <w:t>Odlétnutí - zrušeno v roce 2010</w:t>
            </w:r>
          </w:p>
        </w:tc>
        <w:tc>
          <w:tcPr>
            <w:tcW w:w="29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9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0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5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 xml:space="preserve">IV. Pád na rovině, z výšky, </w:t>
            </w:r>
            <w:r w:rsidR="0051282C">
              <w:rPr>
                <w:sz w:val="22"/>
                <w:szCs w:val="22"/>
              </w:rPr>
              <w:br/>
            </w:r>
            <w:r w:rsidRPr="00D12FE7">
              <w:rPr>
                <w:sz w:val="22"/>
                <w:szCs w:val="22"/>
              </w:rPr>
              <w:t>do hloubky, propadnutí</w:t>
            </w:r>
          </w:p>
        </w:tc>
        <w:tc>
          <w:tcPr>
            <w:tcW w:w="29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0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8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V. Nástroj, přístroj, nářadí</w:t>
            </w:r>
          </w:p>
        </w:tc>
        <w:tc>
          <w:tcPr>
            <w:tcW w:w="29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0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VI. Průmyslové škodliviny, chemické látky, biologické činitele</w:t>
            </w:r>
          </w:p>
        </w:tc>
        <w:tc>
          <w:tcPr>
            <w:tcW w:w="29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0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8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 xml:space="preserve">VII. Horké látky a předměty, oheň </w:t>
            </w:r>
            <w:r w:rsidR="00D12FE7" w:rsidRPr="00D12FE7">
              <w:rPr>
                <w:sz w:val="22"/>
                <w:szCs w:val="22"/>
              </w:rPr>
              <w:br/>
            </w:r>
            <w:r w:rsidRPr="00D12FE7">
              <w:rPr>
                <w:sz w:val="22"/>
                <w:szCs w:val="22"/>
              </w:rPr>
              <w:t>a výbušniny</w:t>
            </w:r>
          </w:p>
        </w:tc>
        <w:tc>
          <w:tcPr>
            <w:tcW w:w="29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0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VIII. Stroje hnací, pomocné, obráběcí, pracovní; Stroje a zařízení stabilní</w:t>
            </w:r>
          </w:p>
        </w:tc>
        <w:tc>
          <w:tcPr>
            <w:tcW w:w="29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0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8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IX. Lidé, zvířata nebo přírodní živly</w:t>
            </w:r>
          </w:p>
        </w:tc>
        <w:tc>
          <w:tcPr>
            <w:tcW w:w="29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4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0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X. Elektrická energie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XI. Jiný blíže nespecifikovaný zdroj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</w:tr>
      <w:tr w:rsidR="00025496" w:rsidRPr="00D12FE7" w:rsidTr="00D12FE7">
        <w:trPr>
          <w:jc w:val="center"/>
        </w:trPr>
        <w:tc>
          <w:tcPr>
            <w:tcW w:w="1763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D12FE7" w:rsidP="00D12FE7">
            <w:pPr>
              <w:ind w:firstLine="0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Celke</w:t>
            </w:r>
            <w:r w:rsidR="00025496" w:rsidRPr="00D12FE7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96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96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96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9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11</w:t>
            </w:r>
          </w:p>
        </w:tc>
      </w:tr>
    </w:tbl>
    <w:p w:rsidR="00D12FE7" w:rsidRDefault="00D12FE7">
      <w:pPr>
        <w:suppressAutoHyphens w:val="0"/>
        <w:autoSpaceDE/>
        <w:autoSpaceDN/>
        <w:adjustRightInd/>
        <w:spacing w:before="0" w:after="0"/>
        <w:ind w:firstLine="0"/>
      </w:pPr>
      <w:r>
        <w:br w:type="page"/>
      </w:r>
    </w:p>
    <w:p w:rsidR="007E35BE" w:rsidRPr="0085192F" w:rsidRDefault="007E35BE" w:rsidP="00D12FE7">
      <w:pPr>
        <w:pStyle w:val="Nadpis3"/>
      </w:pPr>
      <w:bookmarkStart w:id="8" w:name="_Toc422823296"/>
      <w:r w:rsidRPr="0085192F">
        <w:lastRenderedPageBreak/>
        <w:t>Přehled smrtelných úrazů podle příčin</w:t>
      </w:r>
      <w:bookmarkEnd w:id="8"/>
    </w:p>
    <w:p w:rsidR="00711903" w:rsidRPr="00D12FE7" w:rsidRDefault="00B12859" w:rsidP="00D12FE7">
      <w:pPr>
        <w:ind w:left="1560" w:hanging="1560"/>
        <w:jc w:val="left"/>
        <w:rPr>
          <w:rStyle w:val="Nzevknihy"/>
        </w:rPr>
      </w:pPr>
      <w:r w:rsidRPr="00D12FE7">
        <w:rPr>
          <w:rStyle w:val="Nzevknihy"/>
        </w:rPr>
        <w:t xml:space="preserve">Tabulka č. </w:t>
      </w:r>
      <w:r w:rsidR="00025496" w:rsidRPr="00D12FE7">
        <w:rPr>
          <w:rStyle w:val="Nzevknihy"/>
        </w:rPr>
        <w:t>6</w:t>
      </w:r>
      <w:r w:rsidR="00711903" w:rsidRPr="00D12FE7">
        <w:rPr>
          <w:rStyle w:val="Nzevknihy"/>
        </w:rPr>
        <w:t xml:space="preserve"> - </w:t>
      </w:r>
      <w:r w:rsidR="00D12FE7">
        <w:rPr>
          <w:rStyle w:val="Nzevknihy"/>
        </w:rPr>
        <w:t>P</w:t>
      </w:r>
      <w:r w:rsidR="00711903" w:rsidRPr="00D12FE7">
        <w:rPr>
          <w:rStyle w:val="Nzevknihy"/>
        </w:rPr>
        <w:t>řehled smrtelných úrazů podle příčin</w:t>
      </w:r>
      <w:r w:rsidR="00D71332" w:rsidRPr="00D12FE7">
        <w:rPr>
          <w:rStyle w:val="Nzevknihy"/>
        </w:rPr>
        <w:t xml:space="preserve"> v letech 200</w:t>
      </w:r>
      <w:r w:rsidR="00025496" w:rsidRPr="00D12FE7">
        <w:rPr>
          <w:rStyle w:val="Nzevknihy"/>
        </w:rPr>
        <w:t>4</w:t>
      </w:r>
      <w:r w:rsidR="00711903" w:rsidRPr="00D12FE7">
        <w:rPr>
          <w:rStyle w:val="Nzevknihy"/>
        </w:rPr>
        <w:t xml:space="preserve"> - 20</w:t>
      </w:r>
      <w:r w:rsidR="00F553C3" w:rsidRPr="00D12FE7">
        <w:rPr>
          <w:rStyle w:val="Nzevknihy"/>
        </w:rPr>
        <w:t>1</w:t>
      </w:r>
      <w:r w:rsidR="00D71332" w:rsidRPr="00D12FE7">
        <w:rPr>
          <w:rStyle w:val="Nzevknihy"/>
        </w:rPr>
        <w:t>4</w:t>
      </w:r>
      <w:r w:rsidR="00711903" w:rsidRPr="00D12FE7">
        <w:rPr>
          <w:rStyle w:val="Nzevknihy"/>
        </w:rPr>
        <w:t xml:space="preserve"> </w:t>
      </w:r>
    </w:p>
    <w:tbl>
      <w:tblPr>
        <w:tblW w:w="4924" w:type="pct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025496" w:rsidRPr="00D12FE7" w:rsidTr="00D12FE7">
        <w:trPr>
          <w:trHeight w:val="579"/>
        </w:trPr>
        <w:tc>
          <w:tcPr>
            <w:tcW w:w="2700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left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Příčina</w:t>
            </w:r>
          </w:p>
        </w:tc>
        <w:tc>
          <w:tcPr>
            <w:tcW w:w="642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2004</w:t>
            </w:r>
          </w:p>
        </w:tc>
        <w:tc>
          <w:tcPr>
            <w:tcW w:w="642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2005</w:t>
            </w:r>
          </w:p>
        </w:tc>
        <w:tc>
          <w:tcPr>
            <w:tcW w:w="642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2006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2007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2008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2009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2010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2011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2012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2013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2014</w:t>
            </w:r>
          </w:p>
        </w:tc>
      </w:tr>
      <w:tr w:rsidR="00025496" w:rsidRPr="00D12FE7" w:rsidTr="00D12FE7">
        <w:trPr>
          <w:trHeight w:val="456"/>
        </w:trPr>
        <w:tc>
          <w:tcPr>
            <w:tcW w:w="2700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left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1. Pro poruchu nebo vadný stav některého ze zdrojů úrazu</w:t>
            </w:r>
          </w:p>
        </w:tc>
        <w:tc>
          <w:tcPr>
            <w:tcW w:w="642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025496" w:rsidRPr="00D12FE7" w:rsidTr="00D12FE7">
        <w:trPr>
          <w:trHeight w:val="402"/>
        </w:trPr>
        <w:tc>
          <w:tcPr>
            <w:tcW w:w="2700" w:type="dxa"/>
            <w:vAlign w:val="center"/>
          </w:tcPr>
          <w:p w:rsidR="00025496" w:rsidRPr="00D12FE7" w:rsidRDefault="00025496" w:rsidP="00D12FE7">
            <w:pPr>
              <w:ind w:firstLine="0"/>
              <w:jc w:val="left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2. Pro špatně nebo nedostatečně odhadnuté riziko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025496" w:rsidRPr="00D12FE7" w:rsidTr="00D12FE7">
        <w:trPr>
          <w:trHeight w:val="408"/>
        </w:trPr>
        <w:tc>
          <w:tcPr>
            <w:tcW w:w="2700" w:type="dxa"/>
            <w:vAlign w:val="center"/>
          </w:tcPr>
          <w:p w:rsidR="00025496" w:rsidRPr="00D12FE7" w:rsidRDefault="00025496" w:rsidP="00D12FE7">
            <w:pPr>
              <w:ind w:firstLine="0"/>
              <w:jc w:val="left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3. Pro závady na pracovišti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</w:tr>
      <w:tr w:rsidR="00025496" w:rsidRPr="00D12FE7" w:rsidTr="00D12FE7">
        <w:trPr>
          <w:trHeight w:val="414"/>
        </w:trPr>
        <w:tc>
          <w:tcPr>
            <w:tcW w:w="2700" w:type="dxa"/>
            <w:vAlign w:val="center"/>
          </w:tcPr>
          <w:p w:rsidR="00025496" w:rsidRPr="00D12FE7" w:rsidRDefault="00025496" w:rsidP="00D12FE7">
            <w:pPr>
              <w:ind w:firstLine="0"/>
              <w:jc w:val="left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4. Pro nedostatečné osobní zajištění zaměstnance včetně OOPP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025496" w:rsidRPr="00D12FE7" w:rsidTr="00D12FE7">
        <w:trPr>
          <w:trHeight w:val="407"/>
        </w:trPr>
        <w:tc>
          <w:tcPr>
            <w:tcW w:w="2700" w:type="dxa"/>
            <w:vAlign w:val="center"/>
          </w:tcPr>
          <w:p w:rsidR="00025496" w:rsidRPr="00D12FE7" w:rsidRDefault="00025496" w:rsidP="00D12FE7">
            <w:pPr>
              <w:ind w:firstLine="0"/>
              <w:jc w:val="left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5. Pro porušení pracovní kázně postiženým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8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</w:tr>
      <w:tr w:rsidR="00025496" w:rsidRPr="00D12FE7" w:rsidTr="00D12FE7">
        <w:trPr>
          <w:trHeight w:val="412"/>
        </w:trPr>
        <w:tc>
          <w:tcPr>
            <w:tcW w:w="2700" w:type="dxa"/>
            <w:vAlign w:val="center"/>
          </w:tcPr>
          <w:p w:rsidR="00025496" w:rsidRPr="00D12FE7" w:rsidRDefault="00025496" w:rsidP="00D12FE7">
            <w:pPr>
              <w:ind w:firstLine="0"/>
              <w:jc w:val="left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6. Pro nepředvídatelné riziko práce nebo selhání lidského činitele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9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642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8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</w:tr>
      <w:tr w:rsidR="00025496" w:rsidRPr="00D12FE7" w:rsidTr="00D12FE7">
        <w:trPr>
          <w:trHeight w:val="404"/>
        </w:trPr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left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7. Pro jiný, blíže nespecifikovaný důvod</w:t>
            </w:r>
          </w:p>
        </w:tc>
        <w:tc>
          <w:tcPr>
            <w:tcW w:w="642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bottom w:val="single" w:sz="6" w:space="0" w:color="auto"/>
            </w:tcBorders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</w:tr>
      <w:tr w:rsidR="00025496" w:rsidRPr="00D12FE7" w:rsidTr="00D12FE7">
        <w:trPr>
          <w:trHeight w:val="387"/>
        </w:trPr>
        <w:tc>
          <w:tcPr>
            <w:tcW w:w="2700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642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642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42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4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4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4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25496" w:rsidRPr="00D12FE7" w:rsidRDefault="00025496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11</w:t>
            </w:r>
          </w:p>
        </w:tc>
      </w:tr>
    </w:tbl>
    <w:p w:rsidR="007D400C" w:rsidRPr="00996ABB" w:rsidRDefault="008E427C" w:rsidP="002E1C16">
      <w:pPr>
        <w:rPr>
          <w:highlight w:val="yellow"/>
        </w:rPr>
      </w:pPr>
      <w:r>
        <w:t>Bánští inspektoři</w:t>
      </w:r>
      <w:r w:rsidR="00D327B0">
        <w:t xml:space="preserve"> </w:t>
      </w:r>
      <w:r w:rsidR="00532066" w:rsidRPr="00377166">
        <w:t xml:space="preserve">důsledně zjišťují </w:t>
      </w:r>
      <w:r w:rsidR="00532066" w:rsidRPr="00532066">
        <w:t xml:space="preserve">příčiny </w:t>
      </w:r>
      <w:r>
        <w:t>všech smrtelných</w:t>
      </w:r>
      <w:r w:rsidR="00532066" w:rsidRPr="00532066">
        <w:t xml:space="preserve"> úraz</w:t>
      </w:r>
      <w:r w:rsidR="00885D0C">
        <w:t>ů</w:t>
      </w:r>
      <w:r w:rsidR="00532066" w:rsidRPr="00377166">
        <w:t xml:space="preserve"> šetřením přímo na místě bezprostředně po ohlášení události. Zatřídění smrtelných úrazů z hlediska jejich příčin bylo provedeno na </w:t>
      </w:r>
      <w:r w:rsidR="00532066">
        <w:t>základě výsledků těchto šetření</w:t>
      </w:r>
      <w:r w:rsidR="00532066" w:rsidRPr="00377166">
        <w:t xml:space="preserve">. </w:t>
      </w:r>
      <w:r w:rsidR="00025496">
        <w:t xml:space="preserve">Nejčastější příčinou smrtelných úrazů je </w:t>
      </w:r>
      <w:r>
        <w:t>„N</w:t>
      </w:r>
      <w:r w:rsidR="007D400C" w:rsidRPr="00F76929">
        <w:t>epředvídatelné riziko práce nebo selhání lidského činitele“</w:t>
      </w:r>
      <w:r w:rsidR="00025496">
        <w:t>.</w:t>
      </w:r>
      <w:r w:rsidR="007D400C" w:rsidRPr="00F76929">
        <w:t xml:space="preserve"> </w:t>
      </w:r>
    </w:p>
    <w:p w:rsidR="00920057" w:rsidRPr="00F76383" w:rsidRDefault="00167AF2" w:rsidP="002E1C16">
      <w:r>
        <w:t xml:space="preserve">Spolehlivé určení zdrojů a příčin smrtelných úrazů </w:t>
      </w:r>
      <w:r w:rsidR="00AF710C">
        <w:t xml:space="preserve">je předpokladem pro </w:t>
      </w:r>
      <w:r>
        <w:t>správné stanovení potřebných opatření</w:t>
      </w:r>
      <w:r w:rsidR="00B53A80">
        <w:t>,</w:t>
      </w:r>
      <w:r>
        <w:t xml:space="preserve"> směřující</w:t>
      </w:r>
      <w:r w:rsidR="00B53A80">
        <w:t>ch</w:t>
      </w:r>
      <w:r>
        <w:t xml:space="preserve"> </w:t>
      </w:r>
      <w:r w:rsidR="008E427C">
        <w:t>k zabránění nebo alespoň omezení vzniku obdobných událostí</w:t>
      </w:r>
      <w:r>
        <w:t>. Opatření jsou nařizov</w:t>
      </w:r>
      <w:r w:rsidR="00D95A92">
        <w:t xml:space="preserve">ána orgány </w:t>
      </w:r>
      <w:r w:rsidR="00A10974">
        <w:t>SBS</w:t>
      </w:r>
      <w:r>
        <w:t xml:space="preserve"> v souladu s příslušnými právními předpisy podle konkrétní situace, která byla zjištěna během šetření. </w:t>
      </w:r>
    </w:p>
    <w:p w:rsidR="007E35BE" w:rsidRPr="00E228F6" w:rsidRDefault="007A4B18" w:rsidP="00D12FE7">
      <w:pPr>
        <w:pStyle w:val="Nadpis2"/>
      </w:pPr>
      <w:bookmarkStart w:id="9" w:name="_Toc422823297"/>
      <w:r w:rsidRPr="00F76929">
        <w:lastRenderedPageBreak/>
        <w:t>Závažné</w:t>
      </w:r>
      <w:r w:rsidR="007E35BE" w:rsidRPr="00F76929">
        <w:t xml:space="preserve"> události</w:t>
      </w:r>
      <w:bookmarkEnd w:id="9"/>
    </w:p>
    <w:p w:rsidR="00D10FF8" w:rsidRDefault="007E35BE" w:rsidP="0028418A">
      <w:r w:rsidRPr="00DE29DD">
        <w:t xml:space="preserve">Přehled vybraných závažných událostí, které podléhají ohlašovací povinnosti </w:t>
      </w:r>
      <w:r w:rsidR="00A242EC">
        <w:t xml:space="preserve">vůči </w:t>
      </w:r>
      <w:r w:rsidRPr="00DE29DD">
        <w:t xml:space="preserve">orgánům </w:t>
      </w:r>
      <w:r w:rsidR="005A2204">
        <w:t>SBS</w:t>
      </w:r>
      <w:r w:rsidR="00A10974">
        <w:t xml:space="preserve"> </w:t>
      </w:r>
      <w:r w:rsidR="007A4B18">
        <w:t>dle ustanovení § 6 odst. 3 písm. b</w:t>
      </w:r>
      <w:r w:rsidR="00A10974">
        <w:t>)</w:t>
      </w:r>
      <w:r w:rsidR="007A4B18">
        <w:t xml:space="preserve"> zákona č. 61/1988 Sb.</w:t>
      </w:r>
      <w:r w:rsidRPr="00DE29DD">
        <w:t xml:space="preserve">, je uveden </w:t>
      </w:r>
      <w:r w:rsidRPr="00F76929">
        <w:t>v</w:t>
      </w:r>
      <w:r w:rsidR="007A4B18" w:rsidRPr="00F76929">
        <w:t> </w:t>
      </w:r>
      <w:r w:rsidRPr="00F76929">
        <w:t xml:space="preserve">tabulce č. </w:t>
      </w:r>
      <w:r w:rsidR="00AF710C">
        <w:t>7</w:t>
      </w:r>
      <w:r w:rsidR="001027F4" w:rsidRPr="00F76929">
        <w:t>.</w:t>
      </w:r>
      <w:r w:rsidR="002B067E" w:rsidRPr="00F76929">
        <w:t xml:space="preserve"> </w:t>
      </w:r>
      <w:r w:rsidRPr="00F76929">
        <w:t xml:space="preserve">Tabulka současně </w:t>
      </w:r>
      <w:r w:rsidR="007039BD" w:rsidRPr="00F76929">
        <w:t>uvádí</w:t>
      </w:r>
      <w:r w:rsidRPr="00F76929">
        <w:t xml:space="preserve"> porovnání počtu </w:t>
      </w:r>
      <w:r w:rsidR="005A2204" w:rsidRPr="00F76929">
        <w:t xml:space="preserve">obdobných </w:t>
      </w:r>
      <w:r w:rsidR="00E32F32" w:rsidRPr="00F76929">
        <w:t>závažných</w:t>
      </w:r>
      <w:r w:rsidRPr="00F76929">
        <w:t xml:space="preserve"> událostí </w:t>
      </w:r>
      <w:r w:rsidR="007E5A84" w:rsidRPr="00F76929">
        <w:t xml:space="preserve">od roku </w:t>
      </w:r>
      <w:r w:rsidR="008359FF" w:rsidRPr="00F76929">
        <w:t>200</w:t>
      </w:r>
      <w:r w:rsidR="00AF710C">
        <w:t>4</w:t>
      </w:r>
      <w:r w:rsidRPr="00F76929">
        <w:t>.</w:t>
      </w:r>
    </w:p>
    <w:p w:rsidR="008359FF" w:rsidRPr="00D12FE7" w:rsidRDefault="008359FF" w:rsidP="00D12FE7">
      <w:pPr>
        <w:ind w:left="1560" w:hanging="1560"/>
        <w:jc w:val="left"/>
        <w:rPr>
          <w:rStyle w:val="Nzevknihy"/>
        </w:rPr>
      </w:pPr>
      <w:r w:rsidRPr="00D12FE7">
        <w:rPr>
          <w:rStyle w:val="Nzevknihy"/>
        </w:rPr>
        <w:t xml:space="preserve">Tabulka č. </w:t>
      </w:r>
      <w:r w:rsidR="00AF710C" w:rsidRPr="00D12FE7">
        <w:rPr>
          <w:rStyle w:val="Nzevknihy"/>
        </w:rPr>
        <w:t>7</w:t>
      </w:r>
      <w:r w:rsidRPr="00D12FE7">
        <w:rPr>
          <w:rStyle w:val="Nzevknihy"/>
        </w:rPr>
        <w:t xml:space="preserve"> - </w:t>
      </w:r>
      <w:r w:rsidR="00B454F0">
        <w:rPr>
          <w:rStyle w:val="Nzevknihy"/>
        </w:rPr>
        <w:t>P</w:t>
      </w:r>
      <w:r w:rsidRPr="00D12FE7">
        <w:rPr>
          <w:rStyle w:val="Nzevknihy"/>
        </w:rPr>
        <w:t xml:space="preserve">řehled vybraných závažných událostí, které podléhají ohlašovací povinnosti </w:t>
      </w:r>
      <w:r w:rsidR="00D37E81" w:rsidRPr="00D12FE7">
        <w:rPr>
          <w:rStyle w:val="Nzevknihy"/>
        </w:rPr>
        <w:br/>
      </w:r>
      <w:r w:rsidR="0028418A" w:rsidRPr="00D12FE7">
        <w:rPr>
          <w:rStyle w:val="Nzevknihy"/>
        </w:rPr>
        <w:t xml:space="preserve"> </w:t>
      </w:r>
      <w:r w:rsidRPr="00D12FE7">
        <w:rPr>
          <w:rStyle w:val="Nzevknihy"/>
        </w:rPr>
        <w:t xml:space="preserve">orgánům </w:t>
      </w:r>
      <w:r w:rsidR="00A10974" w:rsidRPr="00D12FE7">
        <w:rPr>
          <w:rStyle w:val="Nzevknihy"/>
        </w:rPr>
        <w:t>SBS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637"/>
        <w:gridCol w:w="637"/>
        <w:gridCol w:w="637"/>
        <w:gridCol w:w="637"/>
        <w:gridCol w:w="635"/>
        <w:gridCol w:w="635"/>
        <w:gridCol w:w="635"/>
        <w:gridCol w:w="635"/>
        <w:gridCol w:w="635"/>
        <w:gridCol w:w="635"/>
        <w:gridCol w:w="631"/>
      </w:tblGrid>
      <w:tr w:rsidR="00AF710C" w:rsidRPr="00AF710C" w:rsidTr="00D12FE7">
        <w:trPr>
          <w:trHeight w:val="690"/>
        </w:trPr>
        <w:tc>
          <w:tcPr>
            <w:tcW w:w="1478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závažné události / rok</w:t>
            </w:r>
          </w:p>
        </w:tc>
        <w:tc>
          <w:tcPr>
            <w:tcW w:w="321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2004</w:t>
            </w:r>
          </w:p>
        </w:tc>
        <w:tc>
          <w:tcPr>
            <w:tcW w:w="321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2005</w:t>
            </w:r>
          </w:p>
        </w:tc>
        <w:tc>
          <w:tcPr>
            <w:tcW w:w="321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2006</w:t>
            </w:r>
          </w:p>
        </w:tc>
        <w:tc>
          <w:tcPr>
            <w:tcW w:w="321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2007</w:t>
            </w:r>
          </w:p>
        </w:tc>
        <w:tc>
          <w:tcPr>
            <w:tcW w:w="32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2008</w:t>
            </w:r>
          </w:p>
        </w:tc>
        <w:tc>
          <w:tcPr>
            <w:tcW w:w="32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2009</w:t>
            </w:r>
          </w:p>
        </w:tc>
        <w:tc>
          <w:tcPr>
            <w:tcW w:w="32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2010</w:t>
            </w:r>
          </w:p>
        </w:tc>
        <w:tc>
          <w:tcPr>
            <w:tcW w:w="32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2011</w:t>
            </w:r>
          </w:p>
        </w:tc>
        <w:tc>
          <w:tcPr>
            <w:tcW w:w="32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2012</w:t>
            </w:r>
          </w:p>
        </w:tc>
        <w:tc>
          <w:tcPr>
            <w:tcW w:w="32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2013</w:t>
            </w:r>
          </w:p>
        </w:tc>
        <w:tc>
          <w:tcPr>
            <w:tcW w:w="32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2014</w:t>
            </w:r>
          </w:p>
        </w:tc>
      </w:tr>
      <w:tr w:rsidR="00AF710C" w:rsidRPr="00DE29DD" w:rsidTr="00D12FE7">
        <w:trPr>
          <w:trHeight w:val="437"/>
        </w:trPr>
        <w:tc>
          <w:tcPr>
            <w:tcW w:w="1478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Zápary a požáry v dole i na povrchu</w:t>
            </w:r>
          </w:p>
        </w:tc>
        <w:tc>
          <w:tcPr>
            <w:tcW w:w="321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11</w:t>
            </w:r>
          </w:p>
        </w:tc>
        <w:tc>
          <w:tcPr>
            <w:tcW w:w="321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  <w:tc>
          <w:tcPr>
            <w:tcW w:w="321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20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20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13</w:t>
            </w:r>
          </w:p>
        </w:tc>
        <w:tc>
          <w:tcPr>
            <w:tcW w:w="320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13</w:t>
            </w:r>
          </w:p>
        </w:tc>
        <w:tc>
          <w:tcPr>
            <w:tcW w:w="320" w:type="pct"/>
            <w:tcBorders>
              <w:top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10</w:t>
            </w:r>
          </w:p>
        </w:tc>
      </w:tr>
      <w:tr w:rsidR="00AF710C" w:rsidRPr="00DE29DD" w:rsidTr="00D12FE7">
        <w:trPr>
          <w:trHeight w:val="397"/>
        </w:trPr>
        <w:tc>
          <w:tcPr>
            <w:tcW w:w="1478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Zaplynování důlních děl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AF710C" w:rsidRPr="00DE29DD" w:rsidTr="00D12FE7">
        <w:trPr>
          <w:trHeight w:val="417"/>
        </w:trPr>
        <w:tc>
          <w:tcPr>
            <w:tcW w:w="1478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Průtrže hornin, uhlí a plynů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AF710C" w:rsidRPr="00DE29DD" w:rsidTr="00D12FE7">
        <w:trPr>
          <w:trHeight w:val="382"/>
        </w:trPr>
        <w:tc>
          <w:tcPr>
            <w:tcW w:w="1478" w:type="pct"/>
            <w:vAlign w:val="center"/>
          </w:tcPr>
          <w:p w:rsidR="00AF710C" w:rsidRPr="00D12FE7" w:rsidRDefault="00AF710C" w:rsidP="00885D0C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 xml:space="preserve">Zapálení a výbuchy </w:t>
            </w:r>
            <w:r w:rsidR="00885D0C">
              <w:rPr>
                <w:sz w:val="22"/>
                <w:szCs w:val="22"/>
              </w:rPr>
              <w:t>metanu</w:t>
            </w:r>
            <w:r w:rsidRPr="00D12FE7">
              <w:rPr>
                <w:sz w:val="22"/>
                <w:szCs w:val="22"/>
                <w:vertAlign w:val="subscript"/>
              </w:rPr>
              <w:t xml:space="preserve"> </w:t>
            </w:r>
            <w:r w:rsidRPr="00D12FE7">
              <w:rPr>
                <w:sz w:val="22"/>
                <w:szCs w:val="22"/>
                <w:vertAlign w:val="subscript"/>
              </w:rPr>
              <w:br/>
            </w:r>
            <w:r w:rsidRPr="00D12FE7">
              <w:rPr>
                <w:sz w:val="22"/>
                <w:szCs w:val="22"/>
              </w:rPr>
              <w:t>a uhelného prachu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</w:tr>
      <w:tr w:rsidR="00AF710C" w:rsidRPr="00DE29DD" w:rsidTr="00D12FE7">
        <w:trPr>
          <w:trHeight w:val="391"/>
        </w:trPr>
        <w:tc>
          <w:tcPr>
            <w:tcW w:w="1478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Důlní otřesy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7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5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</w:tr>
      <w:tr w:rsidR="00AF710C" w:rsidRPr="00DE29DD" w:rsidTr="00D12FE7">
        <w:trPr>
          <w:trHeight w:val="553"/>
        </w:trPr>
        <w:tc>
          <w:tcPr>
            <w:tcW w:w="1478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 xml:space="preserve">Závaly a skluzy zemin (sesuvy) vč. průvalů vod a </w:t>
            </w:r>
            <w:proofErr w:type="spellStart"/>
            <w:r w:rsidRPr="00D12FE7">
              <w:rPr>
                <w:sz w:val="22"/>
                <w:szCs w:val="22"/>
              </w:rPr>
              <w:t>bahnin</w:t>
            </w:r>
            <w:proofErr w:type="spellEnd"/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</w:tr>
      <w:tr w:rsidR="00AF710C" w:rsidRPr="00DE29DD" w:rsidTr="00D12FE7">
        <w:trPr>
          <w:trHeight w:val="690"/>
        </w:trPr>
        <w:tc>
          <w:tcPr>
            <w:tcW w:w="1478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 xml:space="preserve">Nehody na strojním </w:t>
            </w:r>
            <w:r w:rsidRPr="00D12FE7">
              <w:rPr>
                <w:sz w:val="22"/>
                <w:szCs w:val="22"/>
              </w:rPr>
              <w:br/>
              <w:t>a elektrickém zařízení, včetně zařízení svislé dopravy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9</w:t>
            </w:r>
          </w:p>
        </w:tc>
      </w:tr>
      <w:tr w:rsidR="00AF710C" w:rsidRPr="00DE29DD" w:rsidTr="00D12FE7">
        <w:trPr>
          <w:trHeight w:val="403"/>
        </w:trPr>
        <w:tc>
          <w:tcPr>
            <w:tcW w:w="1478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 xml:space="preserve">Mimořádné události </w:t>
            </w:r>
            <w:r w:rsidRPr="00D12FE7">
              <w:rPr>
                <w:sz w:val="22"/>
                <w:szCs w:val="22"/>
              </w:rPr>
              <w:br/>
              <w:t>při nakládání s výbušninami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5</w:t>
            </w:r>
          </w:p>
        </w:tc>
        <w:tc>
          <w:tcPr>
            <w:tcW w:w="321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5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6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  <w:tc>
          <w:tcPr>
            <w:tcW w:w="320" w:type="pct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</w:t>
            </w:r>
          </w:p>
        </w:tc>
      </w:tr>
      <w:tr w:rsidR="00AF710C" w:rsidRPr="00DE29DD" w:rsidTr="00D12FE7">
        <w:trPr>
          <w:trHeight w:val="413"/>
        </w:trPr>
        <w:tc>
          <w:tcPr>
            <w:tcW w:w="1478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Ostatní závažné události</w:t>
            </w:r>
          </w:p>
        </w:tc>
        <w:tc>
          <w:tcPr>
            <w:tcW w:w="321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24</w:t>
            </w:r>
          </w:p>
        </w:tc>
        <w:tc>
          <w:tcPr>
            <w:tcW w:w="321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18</w:t>
            </w:r>
          </w:p>
        </w:tc>
        <w:tc>
          <w:tcPr>
            <w:tcW w:w="321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10</w:t>
            </w:r>
          </w:p>
        </w:tc>
        <w:tc>
          <w:tcPr>
            <w:tcW w:w="321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20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12FE7">
              <w:rPr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20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14</w:t>
            </w:r>
          </w:p>
        </w:tc>
        <w:tc>
          <w:tcPr>
            <w:tcW w:w="320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24</w:t>
            </w:r>
          </w:p>
        </w:tc>
        <w:tc>
          <w:tcPr>
            <w:tcW w:w="320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24</w:t>
            </w:r>
          </w:p>
        </w:tc>
        <w:tc>
          <w:tcPr>
            <w:tcW w:w="320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18</w:t>
            </w:r>
          </w:p>
        </w:tc>
        <w:tc>
          <w:tcPr>
            <w:tcW w:w="320" w:type="pct"/>
            <w:tcBorders>
              <w:bottom w:val="single" w:sz="6" w:space="0" w:color="auto"/>
            </w:tcBorders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sz w:val="22"/>
                <w:szCs w:val="22"/>
              </w:rPr>
            </w:pPr>
            <w:r w:rsidRPr="00D12FE7">
              <w:rPr>
                <w:sz w:val="22"/>
                <w:szCs w:val="22"/>
              </w:rPr>
              <w:t>19</w:t>
            </w:r>
          </w:p>
        </w:tc>
      </w:tr>
      <w:tr w:rsidR="00AF710C" w:rsidRPr="00D12FE7" w:rsidTr="00D12FE7">
        <w:trPr>
          <w:trHeight w:val="415"/>
        </w:trPr>
        <w:tc>
          <w:tcPr>
            <w:tcW w:w="1478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D12FE7">
              <w:rPr>
                <w:b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32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D12FE7">
              <w:rPr>
                <w:b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32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32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32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32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32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32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F710C" w:rsidRPr="00D12FE7" w:rsidRDefault="00AF710C" w:rsidP="00D12FE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12FE7">
              <w:rPr>
                <w:b/>
                <w:sz w:val="22"/>
                <w:szCs w:val="22"/>
              </w:rPr>
              <w:t>49</w:t>
            </w:r>
          </w:p>
        </w:tc>
      </w:tr>
    </w:tbl>
    <w:p w:rsidR="00F11F1C" w:rsidRPr="00151784" w:rsidRDefault="00E65067" w:rsidP="0028418A">
      <w:r>
        <w:t xml:space="preserve">Celkově bylo </w:t>
      </w:r>
      <w:r w:rsidR="00AE4A20">
        <w:t xml:space="preserve">v roce 2014 </w:t>
      </w:r>
      <w:r>
        <w:t>ohlášeno 4</w:t>
      </w:r>
      <w:r w:rsidR="005F3AFE">
        <w:t>9</w:t>
      </w:r>
      <w:r w:rsidR="00F11F1C" w:rsidRPr="00151784">
        <w:t xml:space="preserve"> závažných událostí. Proti roku 2013 došlo z pohledu počtu všech nahlášených závažných událostí (39 případů) ke zvýšení o 10 případů. </w:t>
      </w:r>
    </w:p>
    <w:p w:rsidR="00F72558" w:rsidRDefault="00885D0C" w:rsidP="0028418A">
      <w:r>
        <w:t>Obdobně jako v roce 2013</w:t>
      </w:r>
      <w:r w:rsidR="00F11F1C" w:rsidRPr="00151784">
        <w:t xml:space="preserve"> byl největší počet hlášených závažných událostí </w:t>
      </w:r>
      <w:r w:rsidR="00971ABA">
        <w:t xml:space="preserve">na pracovištích </w:t>
      </w:r>
      <w:r w:rsidR="00F11F1C" w:rsidRPr="00151784">
        <w:t xml:space="preserve">zaznamenán v souvislosti s výskytem CO v koncentraci &gt; 130 </w:t>
      </w:r>
      <w:proofErr w:type="spellStart"/>
      <w:r w:rsidR="00F11F1C" w:rsidRPr="00151784">
        <w:t>ppm</w:t>
      </w:r>
      <w:proofErr w:type="spellEnd"/>
      <w:r w:rsidR="00F11F1C" w:rsidRPr="00151784">
        <w:t xml:space="preserve"> v důlních dílech </w:t>
      </w:r>
      <w:r>
        <w:t xml:space="preserve">celkem </w:t>
      </w:r>
      <w:r>
        <w:br/>
      </w:r>
      <w:r>
        <w:lastRenderedPageBreak/>
        <w:t>10 případů, z toho</w:t>
      </w:r>
      <w:r w:rsidR="00F11F1C" w:rsidRPr="00151784">
        <w:t xml:space="preserve"> 9 </w:t>
      </w:r>
      <w:r>
        <w:t>bylo způsobeno samovznícením uhlí a 1 případ exogenním požárem.</w:t>
      </w:r>
      <w:r w:rsidR="00F11F1C" w:rsidRPr="00151784">
        <w:t xml:space="preserve"> </w:t>
      </w:r>
      <w:r w:rsidR="00B876D8">
        <w:t xml:space="preserve">Ke všem těmto událostem došlo na uhelných dolech a jejich zásadní příčinou je náchylnost dobývaného uhlí k samovznícení, která je jednou z jeho charakteristických vlastností. </w:t>
      </w:r>
      <w:r w:rsidR="00F11F1C" w:rsidRPr="00151784">
        <w:t>Z dalších závažných událostí je nutno připomenout 6 důlních otřesů, při kterých došlo k 32 pracovním úrazům, z toho 3 smrtelným.</w:t>
      </w:r>
      <w:r w:rsidR="00B876D8">
        <w:t xml:space="preserve"> Jak již bylo uvedeno v kapitole o smrtelné úrazovosti</w:t>
      </w:r>
      <w:r w:rsidR="0022576C">
        <w:t>,</w:t>
      </w:r>
      <w:r w:rsidR="00B876D8">
        <w:t xml:space="preserve"> je věnována prevenci vzniku důlních otřesů velká pozornost jak ze strany podnikatelů, tak ze strany dozoru SBS</w:t>
      </w:r>
      <w:r w:rsidR="0022576C">
        <w:t>.</w:t>
      </w:r>
      <w:r w:rsidR="00F11F1C" w:rsidRPr="00151784">
        <w:t xml:space="preserve"> </w:t>
      </w:r>
      <w:r w:rsidR="0022576C">
        <w:t>Prevence je soustřeďována jak do aktivního předcházení otřesům, tak do pasivní ochrany pracovníků pro případ, že se vzniku otřesu nepodaří zabránit. Přes úspěchy v boji proti otřesům se však nedaří tomuto přírodnímu jevu zcela zabránit, ani vyloučit úrazy, ke kterým v jeho důsledku dochází.</w:t>
      </w:r>
      <w:r w:rsidR="00F72558">
        <w:t xml:space="preserve"> V</w:t>
      </w:r>
      <w:r w:rsidR="00F72558" w:rsidRPr="00151784">
        <w:t>e 3 případech došlo ke skluzu nebo závalu.</w:t>
      </w:r>
    </w:p>
    <w:p w:rsidR="00F72558" w:rsidRDefault="00F72558" w:rsidP="0028418A">
      <w:r>
        <w:t>Při nakládání s výbušninami došlo ke dvěma mimořádným událostem. Přičemž k jedné došlo při provádění trhací práce, při té byly zraněny 2 osoby a k jedné při</w:t>
      </w:r>
      <w:r w:rsidR="00F11F1C" w:rsidRPr="00151784">
        <w:t xml:space="preserve"> výrob</w:t>
      </w:r>
      <w:r w:rsidR="00E50969">
        <w:t xml:space="preserve">ě výbušnin, při </w:t>
      </w:r>
      <w:r>
        <w:t>té byla zraněna jedna osoba.</w:t>
      </w:r>
    </w:p>
    <w:p w:rsidR="00F11F1C" w:rsidRPr="00151784" w:rsidRDefault="0022576C" w:rsidP="0028418A">
      <w:r>
        <w:t>Z přehledu nejčastějších mimořádných událostí lze vysledovat, že souvisejí s rizikovostí prostředí</w:t>
      </w:r>
      <w:r w:rsidR="004C771F">
        <w:t>,</w:t>
      </w:r>
      <w:r>
        <w:t xml:space="preserve"> ve kterém se </w:t>
      </w:r>
      <w:r w:rsidR="00F72558">
        <w:t>činnost</w:t>
      </w:r>
      <w:r>
        <w:t xml:space="preserve"> provádí.</w:t>
      </w:r>
    </w:p>
    <w:p w:rsidR="007E35BE" w:rsidRPr="00B662C4" w:rsidRDefault="007E35BE" w:rsidP="00E20F87">
      <w:pPr>
        <w:pStyle w:val="Nadpis1"/>
      </w:pPr>
      <w:bookmarkStart w:id="10" w:name="_Toc422823298"/>
      <w:r w:rsidRPr="004403E9">
        <w:t xml:space="preserve">ČINNOST </w:t>
      </w:r>
      <w:r w:rsidR="00B454F0">
        <w:t>SBS</w:t>
      </w:r>
      <w:r w:rsidRPr="004403E9">
        <w:t xml:space="preserve"> </w:t>
      </w:r>
      <w:r w:rsidR="00B454F0">
        <w:t>PŘI VÝKONU</w:t>
      </w:r>
      <w:r w:rsidR="004F78E3">
        <w:t xml:space="preserve"> </w:t>
      </w:r>
      <w:r w:rsidRPr="004403E9">
        <w:t>VRCHNÍHO DOZORU</w:t>
      </w:r>
      <w:bookmarkEnd w:id="10"/>
      <w:r w:rsidRPr="004403E9">
        <w:t xml:space="preserve"> </w:t>
      </w:r>
    </w:p>
    <w:p w:rsidR="000B78C0" w:rsidRDefault="000B78C0" w:rsidP="00E20F87">
      <w:r w:rsidRPr="000B78C0">
        <w:t xml:space="preserve">Působnost orgánů </w:t>
      </w:r>
      <w:r w:rsidR="00396B82">
        <w:t xml:space="preserve">SBS </w:t>
      </w:r>
      <w:r w:rsidRPr="000B78C0">
        <w:t>je dána zejména zákonem č. 61/1988 Sb.</w:t>
      </w:r>
      <w:r w:rsidR="00A242EC">
        <w:t xml:space="preserve"> o hornické činnosti</w:t>
      </w:r>
      <w:r w:rsidRPr="000B78C0">
        <w:t>,</w:t>
      </w:r>
      <w:r w:rsidR="00C3045A">
        <w:t xml:space="preserve"> výbušninách a o státní báňské správě,</w:t>
      </w:r>
      <w:r w:rsidR="008B262F">
        <w:t xml:space="preserve"> </w:t>
      </w:r>
      <w:r w:rsidRPr="000B78C0">
        <w:t>zákonem č.</w:t>
      </w:r>
      <w:r w:rsidR="00106598">
        <w:t> </w:t>
      </w:r>
      <w:r w:rsidRPr="000B78C0">
        <w:t>44/1988 Sb., o</w:t>
      </w:r>
      <w:r w:rsidR="008B262F">
        <w:t> </w:t>
      </w:r>
      <w:r w:rsidRPr="000B78C0">
        <w:t>ochraně a využití nerostného bohatství (horní zákon), zákonem č.</w:t>
      </w:r>
      <w:r w:rsidR="008B262F">
        <w:t> </w:t>
      </w:r>
      <w:r w:rsidRPr="000B78C0">
        <w:t>157/2009 Sb.,</w:t>
      </w:r>
      <w:r w:rsidRPr="000B78C0">
        <w:rPr>
          <w:b/>
          <w:bCs/>
        </w:rPr>
        <w:t xml:space="preserve"> </w:t>
      </w:r>
      <w:r w:rsidRPr="000B78C0">
        <w:t>o nakládání s těžebním odpadem a o</w:t>
      </w:r>
      <w:r w:rsidR="00396B82">
        <w:t> </w:t>
      </w:r>
      <w:r w:rsidRPr="000B78C0">
        <w:t>změně některých zákonů (dále jen „zákon č.</w:t>
      </w:r>
      <w:r w:rsidR="008B262F">
        <w:t> </w:t>
      </w:r>
      <w:r w:rsidRPr="000B78C0">
        <w:t>157/2009 Sb.“)</w:t>
      </w:r>
      <w:r w:rsidR="00FD51CE">
        <w:t xml:space="preserve">, zákonem č. 85/2012 Sb., </w:t>
      </w:r>
      <w:r w:rsidR="00FD51CE" w:rsidRPr="00FD51CE">
        <w:t>o ukládání oxidu uhličitého do přírodních horninových struktur a o změně některých zákonů</w:t>
      </w:r>
      <w:r w:rsidR="00FD51CE">
        <w:t xml:space="preserve"> (dále jen „zákon č. 85/2012 Sb.“)</w:t>
      </w:r>
      <w:r w:rsidR="00971ABA">
        <w:t>,</w:t>
      </w:r>
      <w:r w:rsidR="00BC281F">
        <w:t> </w:t>
      </w:r>
      <w:r w:rsidR="00BC281F" w:rsidRPr="007039BD">
        <w:t>zákon</w:t>
      </w:r>
      <w:r w:rsidR="00BC281F">
        <w:t>em</w:t>
      </w:r>
      <w:r w:rsidR="00BC281F" w:rsidRPr="007039BD">
        <w:t xml:space="preserve"> </w:t>
      </w:r>
      <w:r w:rsidR="00BC281F" w:rsidRPr="004F4036">
        <w:t>č.</w:t>
      </w:r>
      <w:r w:rsidR="00920057">
        <w:t> </w:t>
      </w:r>
      <w:r w:rsidR="00BC281F" w:rsidRPr="004F4036">
        <w:t>83/2013 Sb., o</w:t>
      </w:r>
      <w:r w:rsidR="008B262F">
        <w:t> </w:t>
      </w:r>
      <w:r w:rsidR="00BC281F" w:rsidRPr="004F4036">
        <w:t>označování a</w:t>
      </w:r>
      <w:r w:rsidR="00BC281F">
        <w:t> </w:t>
      </w:r>
      <w:r w:rsidR="00BC281F" w:rsidRPr="004F4036">
        <w:t>sledovatelnosti výbušni</w:t>
      </w:r>
      <w:r w:rsidR="00BC281F">
        <w:t>n pro civilní použití</w:t>
      </w:r>
      <w:r w:rsidR="00BC281F">
        <w:rPr>
          <w:color w:val="FF0000"/>
        </w:rPr>
        <w:t xml:space="preserve"> </w:t>
      </w:r>
      <w:r w:rsidR="00BC281F">
        <w:t>(dále jen „zákon č.</w:t>
      </w:r>
      <w:r w:rsidR="00920057">
        <w:t> </w:t>
      </w:r>
      <w:r w:rsidR="00BC281F">
        <w:t>83/2013 Sb.“)</w:t>
      </w:r>
      <w:r w:rsidR="00807752">
        <w:t>, zákonem č. 259/2014</w:t>
      </w:r>
      <w:r w:rsidR="008C7097">
        <w:t xml:space="preserve"> Sb.</w:t>
      </w:r>
      <w:r w:rsidR="00807752">
        <w:t>, o prekurzorech výbušnin</w:t>
      </w:r>
      <w:r w:rsidR="0028418A">
        <w:t xml:space="preserve"> </w:t>
      </w:r>
      <w:r w:rsidR="00971ABA">
        <w:t xml:space="preserve">a </w:t>
      </w:r>
      <w:r w:rsidR="00807752">
        <w:t>dalšími zákony.</w:t>
      </w:r>
    </w:p>
    <w:p w:rsidR="0038020A" w:rsidRDefault="0004799A" w:rsidP="00E20F87">
      <w:r w:rsidRPr="005342F2">
        <w:t>ČBÚ</w:t>
      </w:r>
      <w:r w:rsidR="007E35BE" w:rsidRPr="005342F2">
        <w:t xml:space="preserve"> ve smyslu ustanovení § 40 </w:t>
      </w:r>
      <w:r w:rsidR="006B1E26" w:rsidRPr="005342F2">
        <w:t>zákona</w:t>
      </w:r>
      <w:r w:rsidR="006B1E26" w:rsidRPr="004403E9">
        <w:t xml:space="preserve"> </w:t>
      </w:r>
      <w:r w:rsidR="005342F2">
        <w:t xml:space="preserve">č. 61/1988 Sb. </w:t>
      </w:r>
      <w:r w:rsidR="007E35BE" w:rsidRPr="004403E9">
        <w:t xml:space="preserve">plní úkoly vrchního dozoru </w:t>
      </w:r>
      <w:r w:rsidR="00BC2BD6">
        <w:t xml:space="preserve">orgánů </w:t>
      </w:r>
      <w:r w:rsidR="007E35BE" w:rsidRPr="004403E9">
        <w:t xml:space="preserve">státní báňské správy. Kromě výkonu vlastního dozoru v organizacích </w:t>
      </w:r>
      <w:r w:rsidR="00CF1F0F" w:rsidRPr="004403E9">
        <w:t xml:space="preserve">kontroluje </w:t>
      </w:r>
      <w:r w:rsidR="007E35BE" w:rsidRPr="004403E9">
        <w:t xml:space="preserve">a koordinuje činnost </w:t>
      </w:r>
      <w:r w:rsidR="005342F2">
        <w:t>OBÚ</w:t>
      </w:r>
      <w:r w:rsidR="007E35BE" w:rsidRPr="004403E9">
        <w:t xml:space="preserve"> a rozhoduje o odvoláních proti jejich rozhodnutím. Č</w:t>
      </w:r>
      <w:r>
        <w:t>BÚ</w:t>
      </w:r>
      <w:r w:rsidR="007E35BE" w:rsidRPr="004403E9">
        <w:t xml:space="preserve"> </w:t>
      </w:r>
      <w:r w:rsidR="005342F2">
        <w:t xml:space="preserve">mj. </w:t>
      </w:r>
      <w:r w:rsidR="000C694F">
        <w:t>povoluje předávání, vývoz nebo dovoz výbušnin a tranzit výbu</w:t>
      </w:r>
      <w:r w:rsidR="007E67CB">
        <w:t>šnin přes území České republiky a</w:t>
      </w:r>
      <w:r w:rsidR="000C694F">
        <w:t xml:space="preserve"> plní další úkoly stanovené především zákonem </w:t>
      </w:r>
      <w:r w:rsidR="005342F2">
        <w:t>č. 61/1988 Sb.</w:t>
      </w:r>
      <w:r w:rsidR="00807752">
        <w:t>, zákonem č. 83/2013 Sb., zákonem č. 259/2014</w:t>
      </w:r>
      <w:r w:rsidR="008C7097">
        <w:t xml:space="preserve"> Sb.</w:t>
      </w:r>
      <w:r w:rsidR="00807752">
        <w:t>, zákonem č. 22/1997 Sb.</w:t>
      </w:r>
      <w:r w:rsidR="00E50969">
        <w:t xml:space="preserve"> </w:t>
      </w:r>
      <w:r w:rsidR="0097467D">
        <w:br/>
      </w:r>
      <w:r w:rsidR="00E50969">
        <w:t>o technických požadavcích na výrobky</w:t>
      </w:r>
      <w:r w:rsidR="00396B82">
        <w:t xml:space="preserve"> a horním zákonem.</w:t>
      </w:r>
    </w:p>
    <w:p w:rsidR="0038020A" w:rsidRDefault="00807752" w:rsidP="00256973">
      <w:r w:rsidRPr="00807752">
        <w:t xml:space="preserve">OBÚ podle ustanovení § 41 zákona č. 61/1988 Sb. provádějí prohlídky objektů, zařízení </w:t>
      </w:r>
      <w:r w:rsidR="004C771F">
        <w:br/>
      </w:r>
      <w:r w:rsidRPr="00807752">
        <w:t>a pracovišť a při tom kontrolují, jak jsou plněny povinnosti vyplývající z</w:t>
      </w:r>
      <w:r w:rsidR="00E50969">
        <w:t xml:space="preserve"> tohoto zákona, horního zákona </w:t>
      </w:r>
      <w:r w:rsidRPr="00807752">
        <w:t xml:space="preserve">a předpisů vydaných na jejich základě, pokud upravují ochranu a využívání ložisek nerostů, bezpečnost a ochranu zdraví při práci a bezpečnost provozu a zajištění chráněných objektů a zájmů před účinky hornické činnosti, nakládání s výbušninami, jakož i z jiných obecně závazných právních předpisů k zajištění bezpečnosti a ochrany zdraví při práci, bezpečnosti technických zařízení </w:t>
      </w:r>
      <w:r w:rsidR="004C771F">
        <w:br/>
      </w:r>
      <w:r w:rsidRPr="00807752">
        <w:t xml:space="preserve">a pracovních podmínek, včetně předpisů o požární ochraně v podzemí. Dále zjišťují na místě stav, příčiny a následky závažných provozních nehod (havárií) a závažných pracovních úrazů </w:t>
      </w:r>
      <w:r w:rsidR="004C771F">
        <w:br/>
      </w:r>
      <w:r w:rsidRPr="00807752">
        <w:t>v organizacích, jakož i závažné ohrožení bezpečnosti provozu organizace nebo zákonem chráněného obecného zájmu, zejména bezpečnosti a ochrany zdraví při práci.</w:t>
      </w:r>
      <w:r w:rsidR="007E35BE" w:rsidRPr="004403E9">
        <w:t xml:space="preserve"> Dále </w:t>
      </w:r>
      <w:r w:rsidR="009F4CD5">
        <w:t xml:space="preserve">např. </w:t>
      </w:r>
      <w:r w:rsidR="007E35BE" w:rsidRPr="004403E9">
        <w:t>stanovují dobývací prostory a povolují otvírku, přípravu a</w:t>
      </w:r>
      <w:r w:rsidR="0066399E">
        <w:t> </w:t>
      </w:r>
      <w:r w:rsidR="007E35BE" w:rsidRPr="004403E9">
        <w:t>dobývání ložisek vyhrazených i nevyhrazených nerostů</w:t>
      </w:r>
      <w:r w:rsidR="00BC2BD6">
        <w:t>, j</w:t>
      </w:r>
      <w:r w:rsidR="00AE4A20">
        <w:t>sou</w:t>
      </w:r>
      <w:r w:rsidR="00BC2BD6">
        <w:t xml:space="preserve"> správcem úhrad z vydobytých nerostů a z dobývacích prostorů</w:t>
      </w:r>
      <w:r w:rsidR="007E35BE" w:rsidRPr="004403E9">
        <w:t xml:space="preserve">. </w:t>
      </w:r>
      <w:r w:rsidR="000C694F">
        <w:t>Plní i další úkoly stanovené zejména</w:t>
      </w:r>
      <w:r w:rsidR="00A54478" w:rsidRPr="004403E9">
        <w:t xml:space="preserve"> </w:t>
      </w:r>
      <w:r w:rsidR="000C694F">
        <w:t>zákon</w:t>
      </w:r>
      <w:r w:rsidR="00BC2BD6">
        <w:t>y</w:t>
      </w:r>
      <w:r w:rsidR="000C694F">
        <w:t xml:space="preserve"> </w:t>
      </w:r>
      <w:r w:rsidR="00971ABA">
        <w:t xml:space="preserve">č. 44/1988 Sb., </w:t>
      </w:r>
      <w:r w:rsidR="007E7569">
        <w:t>č.</w:t>
      </w:r>
      <w:r w:rsidR="00E36C30">
        <w:t> </w:t>
      </w:r>
      <w:r w:rsidR="007E7569">
        <w:t>61/1988</w:t>
      </w:r>
      <w:r w:rsidR="00E36C30">
        <w:t> </w:t>
      </w:r>
      <w:r w:rsidR="00396B82">
        <w:t>Sb.</w:t>
      </w:r>
      <w:r w:rsidR="00BC2BD6">
        <w:t>, č. 157</w:t>
      </w:r>
      <w:r w:rsidR="00A242EC">
        <w:t>/2009 Sb., č. 83/2013 Sb.,</w:t>
      </w:r>
      <w:r w:rsidR="00BC2BD6">
        <w:t xml:space="preserve"> </w:t>
      </w:r>
      <w:r w:rsidR="000A69FA">
        <w:t xml:space="preserve">č. </w:t>
      </w:r>
      <w:r w:rsidR="00BC2BD6">
        <w:t>183/20</w:t>
      </w:r>
      <w:r w:rsidR="00E36C30">
        <w:t>0</w:t>
      </w:r>
      <w:r w:rsidR="00BC2BD6">
        <w:t>6 Sb</w:t>
      </w:r>
      <w:r w:rsidR="00A242EC">
        <w:t>.</w:t>
      </w:r>
      <w:r w:rsidR="00256973">
        <w:t xml:space="preserve"> o územním plánování a stavebním řádu (stavební zákon)</w:t>
      </w:r>
      <w:r w:rsidR="00A242EC">
        <w:t xml:space="preserve"> a dalšími</w:t>
      </w:r>
      <w:r w:rsidR="00AE4A20">
        <w:t xml:space="preserve"> zákony</w:t>
      </w:r>
      <w:r w:rsidR="00971ABA">
        <w:t>, které vymezují působnost SBS</w:t>
      </w:r>
      <w:r w:rsidR="00BC2BD6">
        <w:t>.</w:t>
      </w:r>
    </w:p>
    <w:p w:rsidR="00F14095" w:rsidRDefault="00F14095" w:rsidP="00E20F87">
      <w:r>
        <w:lastRenderedPageBreak/>
        <w:t>Dle ustanovení § 3b odst. 2 písm. d) zákona č. 61/1988 Sb., orgány SBS poskytují</w:t>
      </w:r>
      <w:r w:rsidR="00A242EC">
        <w:t xml:space="preserve"> nejen</w:t>
      </w:r>
      <w:r>
        <w:t xml:space="preserve"> konzultační činnost, ale v rámci prevence v oblasti </w:t>
      </w:r>
      <w:r w:rsidR="005C7397">
        <w:t>bezpečnosti a ochrany zdraví při práci (dále jen „BOZP“)</w:t>
      </w:r>
      <w:r>
        <w:t xml:space="preserve"> zajišťují a provádí </w:t>
      </w:r>
      <w:r w:rsidR="00A31538">
        <w:t>vzdělávání</w:t>
      </w:r>
      <w:r>
        <w:t xml:space="preserve"> odborně způsobilých zaměstnanců </w:t>
      </w:r>
      <w:r w:rsidR="00317382">
        <w:t xml:space="preserve">při hornické činnosti </w:t>
      </w:r>
      <w:r w:rsidR="004C771F">
        <w:br/>
      </w:r>
      <w:r w:rsidR="00317382">
        <w:t>a činnosti prováděné hornickým způsobem.</w:t>
      </w:r>
    </w:p>
    <w:p w:rsidR="00390BDA" w:rsidRDefault="0049789B" w:rsidP="00E20F87">
      <w:r w:rsidRPr="00C75DD1">
        <w:t>Jednou z významných oblastí na úseku BOZP je</w:t>
      </w:r>
      <w:r w:rsidR="00390BDA">
        <w:t xml:space="preserve"> také </w:t>
      </w:r>
      <w:r w:rsidRPr="00C75DD1">
        <w:t xml:space="preserve">spolupráce s odborovými svazy </w:t>
      </w:r>
      <w:r w:rsidR="00390BDA">
        <w:t xml:space="preserve">OS </w:t>
      </w:r>
      <w:r w:rsidRPr="00C75DD1">
        <w:t xml:space="preserve">PHGN </w:t>
      </w:r>
      <w:r w:rsidR="0097467D">
        <w:br/>
      </w:r>
      <w:r w:rsidRPr="00C75DD1">
        <w:t xml:space="preserve">a </w:t>
      </w:r>
      <w:r w:rsidR="0082658D">
        <w:t xml:space="preserve">OS </w:t>
      </w:r>
      <w:r w:rsidRPr="00C75DD1">
        <w:t>Stavba ČR</w:t>
      </w:r>
      <w:r w:rsidR="005C7397">
        <w:t xml:space="preserve"> při šetření závažných událostí</w:t>
      </w:r>
      <w:r w:rsidRPr="00C75DD1">
        <w:t xml:space="preserve"> </w:t>
      </w:r>
      <w:r w:rsidR="00390BDA">
        <w:t>a</w:t>
      </w:r>
      <w:r w:rsidRPr="00C75DD1">
        <w:t xml:space="preserve"> při kontrolní činnosti</w:t>
      </w:r>
      <w:r w:rsidR="00390BDA">
        <w:t>, založené dohodami</w:t>
      </w:r>
      <w:r w:rsidRPr="00C75DD1">
        <w:t>. Výsledky spolupráce orgánů státní báňské správy a jednotlivých odborových svazů jsou pravidelně jedenkrát ročně vyhodnocovány.</w:t>
      </w:r>
    </w:p>
    <w:p w:rsidR="00BC37B0" w:rsidRDefault="007E35BE" w:rsidP="00E20F87">
      <w:pPr>
        <w:pStyle w:val="Nadpis2"/>
      </w:pPr>
      <w:bookmarkStart w:id="11" w:name="_Toc422823299"/>
      <w:r w:rsidRPr="005342F2">
        <w:t>Kontrolní a inspekční činnost Č</w:t>
      </w:r>
      <w:r w:rsidR="00A810FC" w:rsidRPr="005342F2">
        <w:t>BÚ</w:t>
      </w:r>
      <w:bookmarkEnd w:id="11"/>
    </w:p>
    <w:p w:rsidR="0038020A" w:rsidRDefault="00920EFA" w:rsidP="00E20F87">
      <w:r>
        <w:t>ČBÚ</w:t>
      </w:r>
      <w:r w:rsidR="007E35BE" w:rsidRPr="00F964E8">
        <w:t xml:space="preserve"> vykonává </w:t>
      </w:r>
      <w:r w:rsidR="00AE4A20">
        <w:t xml:space="preserve">vrchní dozor </w:t>
      </w:r>
      <w:r w:rsidR="007E35BE" w:rsidRPr="00F964E8">
        <w:t>formou inspekcí,</w:t>
      </w:r>
      <w:r w:rsidR="00415631" w:rsidRPr="00F964E8">
        <w:t xml:space="preserve"> generálních prověrek</w:t>
      </w:r>
      <w:r w:rsidR="00AE4A20">
        <w:t>, specializovaných prověrek, kontrol a prohlídek</w:t>
      </w:r>
      <w:r w:rsidR="007E35BE" w:rsidRPr="00F964E8">
        <w:t xml:space="preserve"> </w:t>
      </w:r>
      <w:r w:rsidR="00AE4A20">
        <w:t xml:space="preserve">(ohlášených, </w:t>
      </w:r>
      <w:r w:rsidR="007E35BE" w:rsidRPr="00F964E8">
        <w:t xml:space="preserve">neohlášených </w:t>
      </w:r>
      <w:r w:rsidR="005A0B9A">
        <w:t>či</w:t>
      </w:r>
      <w:r w:rsidR="007E35BE" w:rsidRPr="00F964E8">
        <w:t xml:space="preserve"> namá</w:t>
      </w:r>
      <w:r w:rsidR="00415631" w:rsidRPr="00F964E8">
        <w:t>tkových</w:t>
      </w:r>
      <w:r w:rsidR="00AE4A20">
        <w:t>)</w:t>
      </w:r>
      <w:r w:rsidR="00F964E8" w:rsidRPr="00F964E8">
        <w:t xml:space="preserve"> </w:t>
      </w:r>
      <w:r w:rsidR="005C7397">
        <w:t xml:space="preserve">v dozorovaných organizacích </w:t>
      </w:r>
      <w:r w:rsidR="00F964E8" w:rsidRPr="00F964E8">
        <w:t>prostřednictvím ústředních báňských inspektorů</w:t>
      </w:r>
      <w:r w:rsidR="00415631" w:rsidRPr="00F964E8">
        <w:t>.</w:t>
      </w:r>
      <w:r w:rsidR="007E35BE" w:rsidRPr="00F964E8">
        <w:t xml:space="preserve"> Generální prověrky </w:t>
      </w:r>
      <w:r w:rsidR="00415631" w:rsidRPr="00F964E8">
        <w:t>provádí</w:t>
      </w:r>
      <w:r>
        <w:t xml:space="preserve"> ČBÚ</w:t>
      </w:r>
      <w:r w:rsidR="007E35BE" w:rsidRPr="00F964E8">
        <w:t xml:space="preserve"> ve spolupráci s dotčenými orgány státní správy, </w:t>
      </w:r>
      <w:r w:rsidR="005A0B9A">
        <w:t xml:space="preserve">zejména </w:t>
      </w:r>
      <w:r w:rsidR="005A0B9A" w:rsidRPr="00106598">
        <w:t>s or</w:t>
      </w:r>
      <w:r w:rsidR="00A94DDD">
        <w:t xml:space="preserve">gány kontroly veřejného zdraví </w:t>
      </w:r>
      <w:r w:rsidR="00AE4A20">
        <w:t xml:space="preserve">a dále se </w:t>
      </w:r>
      <w:r w:rsidR="007E35BE" w:rsidRPr="00106598">
        <w:t>zástupci odborových svazů a specialisty z odborných organizací.</w:t>
      </w:r>
      <w:r w:rsidR="00106598" w:rsidRPr="00106598">
        <w:t xml:space="preserve"> </w:t>
      </w:r>
      <w:r w:rsidR="00106598" w:rsidRPr="00106598">
        <w:tab/>
      </w:r>
    </w:p>
    <w:p w:rsidR="0038020A" w:rsidRDefault="00B96550" w:rsidP="00E20F87">
      <w:r w:rsidRPr="00106598">
        <w:t xml:space="preserve">Účelem generálních prověrek </w:t>
      </w:r>
      <w:r w:rsidR="005A0B9A" w:rsidRPr="00106598">
        <w:t xml:space="preserve">je </w:t>
      </w:r>
      <w:r w:rsidRPr="00106598">
        <w:t>komplexní zhodnocení dodržování příslušných právních před</w:t>
      </w:r>
      <w:r w:rsidR="00920EFA" w:rsidRPr="00106598">
        <w:t>pisů</w:t>
      </w:r>
      <w:r w:rsidR="005A0B9A" w:rsidRPr="00106598">
        <w:t xml:space="preserve"> v oblasti BOZP</w:t>
      </w:r>
      <w:r w:rsidR="00920EFA" w:rsidRPr="00106598">
        <w:t>. Současně ČBÚ</w:t>
      </w:r>
      <w:r w:rsidRPr="00106598">
        <w:t xml:space="preserve"> zjišť</w:t>
      </w:r>
      <w:r w:rsidR="00390BDA">
        <w:t>uje</w:t>
      </w:r>
      <w:r w:rsidRPr="00106598">
        <w:t xml:space="preserve">, jak </w:t>
      </w:r>
      <w:r w:rsidR="00FB6F21">
        <w:t>OBÚ</w:t>
      </w:r>
      <w:r w:rsidRPr="00106598">
        <w:t xml:space="preserve"> plní povinnosti vyplývající pro ně z horního zákona, zákona </w:t>
      </w:r>
      <w:r w:rsidR="00B42940" w:rsidRPr="00106598">
        <w:t>o</w:t>
      </w:r>
      <w:r w:rsidR="0066399E" w:rsidRPr="00106598">
        <w:t> </w:t>
      </w:r>
      <w:r w:rsidR="00B42940" w:rsidRPr="00106598">
        <w:t>hornické činnosti</w:t>
      </w:r>
      <w:r w:rsidRPr="00106598">
        <w:t xml:space="preserve"> a</w:t>
      </w:r>
      <w:r w:rsidR="00FB6F21">
        <w:t> </w:t>
      </w:r>
      <w:r w:rsidRPr="00106598">
        <w:t xml:space="preserve">předpisů vydaných na jejich základě. </w:t>
      </w:r>
      <w:r w:rsidR="000A69FA">
        <w:t>Předmětem kontroly v rámci g</w:t>
      </w:r>
      <w:r w:rsidRPr="00106598">
        <w:t>enerální prověrky</w:t>
      </w:r>
      <w:r w:rsidR="000A69FA">
        <w:t xml:space="preserve"> je:</w:t>
      </w:r>
    </w:p>
    <w:p w:rsidR="00503F69" w:rsidRPr="00503F69" w:rsidRDefault="00503F6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503F69">
        <w:t>organizac</w:t>
      </w:r>
      <w:r w:rsidR="00396B82">
        <w:t>e</w:t>
      </w:r>
      <w:r w:rsidRPr="00503F69">
        <w:t xml:space="preserve"> a řízení BOZP, šetření pracovních úrazů, hodnocení rizik,</w:t>
      </w:r>
    </w:p>
    <w:p w:rsidR="00503F69" w:rsidRPr="00503F69" w:rsidRDefault="00503F6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503F69">
        <w:t>plnění podmínek stanovených v rozhodnutí k povolení činnosti nebo stanovení dobývacího prostoru, vedení důlních nebo podzemních děl a lomů,</w:t>
      </w:r>
    </w:p>
    <w:p w:rsidR="00503F69" w:rsidRPr="00503F69" w:rsidRDefault="00503F6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503F69">
        <w:t>větrání a klimatizac</w:t>
      </w:r>
      <w:r w:rsidR="00396B82">
        <w:t>e</w:t>
      </w:r>
      <w:r w:rsidRPr="00503F69">
        <w:t xml:space="preserve"> v dole nebo podzemním díle,</w:t>
      </w:r>
    </w:p>
    <w:p w:rsidR="00503F69" w:rsidRPr="00503F69" w:rsidRDefault="00503F6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503F69">
        <w:t>strojní zařízení, vertikální a horizontální doprav</w:t>
      </w:r>
      <w:r w:rsidR="00396B82">
        <w:t>a</w:t>
      </w:r>
      <w:r w:rsidRPr="00503F69">
        <w:t>,</w:t>
      </w:r>
    </w:p>
    <w:p w:rsidR="00503F69" w:rsidRDefault="00503F6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503F69">
        <w:t>elektrická a energetická zařízení,</w:t>
      </w:r>
    </w:p>
    <w:p w:rsidR="00BC281F" w:rsidRPr="00503F69" w:rsidRDefault="00BC281F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>
        <w:t>úprava a zušlechťování nerostných surovin,</w:t>
      </w:r>
    </w:p>
    <w:p w:rsidR="00503F69" w:rsidRPr="00503F69" w:rsidRDefault="00503F6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503F69">
        <w:t>nakládání s výbušninami,</w:t>
      </w:r>
    </w:p>
    <w:p w:rsidR="00503F69" w:rsidRPr="00503F69" w:rsidRDefault="00503F6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503F69">
        <w:t>důlně měřick</w:t>
      </w:r>
      <w:r w:rsidR="00396B82">
        <w:t>á</w:t>
      </w:r>
      <w:r w:rsidRPr="00503F69">
        <w:t xml:space="preserve"> a geologick</w:t>
      </w:r>
      <w:r w:rsidR="00396B82">
        <w:t>á dokumentace</w:t>
      </w:r>
      <w:r w:rsidRPr="00503F69">
        <w:t xml:space="preserve"> a hospodaření se zásobami nerostů,</w:t>
      </w:r>
    </w:p>
    <w:p w:rsidR="00503F69" w:rsidRPr="00503F69" w:rsidRDefault="00503F6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503F69">
        <w:t>báňsk</w:t>
      </w:r>
      <w:r w:rsidR="00396B82">
        <w:t>á</w:t>
      </w:r>
      <w:r w:rsidRPr="00503F69">
        <w:t xml:space="preserve"> záchrann</w:t>
      </w:r>
      <w:r w:rsidR="00396B82">
        <w:t>á</w:t>
      </w:r>
      <w:r w:rsidRPr="00503F69">
        <w:t xml:space="preserve"> služb</w:t>
      </w:r>
      <w:r w:rsidR="00396B82">
        <w:t>a, inspekční služba</w:t>
      </w:r>
      <w:r w:rsidRPr="00503F69">
        <w:t>, havarijní plán, prevenc</w:t>
      </w:r>
      <w:r w:rsidR="00396B82">
        <w:t>e</w:t>
      </w:r>
      <w:r w:rsidRPr="00503F69">
        <w:t xml:space="preserve"> proti požárům, výbuchům, průva</w:t>
      </w:r>
      <w:r w:rsidR="00424A7A">
        <w:t>lům vod, otřesům, průtržím atd.</w:t>
      </w:r>
    </w:p>
    <w:p w:rsidR="008A600F" w:rsidRDefault="00503F69" w:rsidP="00E20F87">
      <w:r w:rsidRPr="00F76929">
        <w:t xml:space="preserve">Podle </w:t>
      </w:r>
      <w:r w:rsidR="00317382" w:rsidRPr="00F76929">
        <w:t>Plán</w:t>
      </w:r>
      <w:r w:rsidR="00B736B3" w:rsidRPr="00F76929">
        <w:t>u hlavních úkolů SBS na rok 2014</w:t>
      </w:r>
      <w:r w:rsidR="00317382" w:rsidRPr="00F76929">
        <w:t xml:space="preserve"> (dále jen „PHÚ“)</w:t>
      </w:r>
      <w:r w:rsidRPr="00F76929">
        <w:t xml:space="preserve"> byly v roce 201</w:t>
      </w:r>
      <w:r w:rsidR="00B736B3" w:rsidRPr="00F76929">
        <w:t>4</w:t>
      </w:r>
      <w:r w:rsidRPr="00F76929">
        <w:t xml:space="preserve"> provedeny</w:t>
      </w:r>
      <w:r w:rsidRPr="00503F69">
        <w:t xml:space="preserve"> čtyři generální prověrky v následujících or</w:t>
      </w:r>
      <w:r w:rsidR="00E20F87">
        <w:t>ganizacích:</w:t>
      </w:r>
    </w:p>
    <w:p w:rsidR="00E20F87" w:rsidRDefault="00E20F87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3A0600">
        <w:t xml:space="preserve">OKD, a.s., závod Důl </w:t>
      </w:r>
      <w:proofErr w:type="spellStart"/>
      <w:r w:rsidRPr="003A0600">
        <w:t>Darkov</w:t>
      </w:r>
      <w:proofErr w:type="spellEnd"/>
    </w:p>
    <w:p w:rsidR="00E20F87" w:rsidRDefault="00E20F87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3A0600">
        <w:t>Kámen a písek, spol. s r.o.</w:t>
      </w:r>
    </w:p>
    <w:p w:rsidR="00E20F87" w:rsidRDefault="00E20F87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3A0600">
        <w:t>COLAS CZ a.s.</w:t>
      </w:r>
    </w:p>
    <w:p w:rsidR="00E20F87" w:rsidRPr="003A0600" w:rsidRDefault="00E20F87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proofErr w:type="spellStart"/>
      <w:r w:rsidRPr="003A0600">
        <w:t>Vršanská</w:t>
      </w:r>
      <w:proofErr w:type="spellEnd"/>
      <w:r w:rsidRPr="003A0600">
        <w:t xml:space="preserve"> uhelná a.s.</w:t>
      </w:r>
    </w:p>
    <w:p w:rsidR="0038020A" w:rsidRDefault="00021025" w:rsidP="00E20F87">
      <w:r w:rsidRPr="00021025">
        <w:t xml:space="preserve">Všechny generální prověrky byly provedeny v plánovaném rozsahu a termínu a jejich výsledky byly bezodkladně projednány s vedením kontrolovaných organizací. Na základě zjištěných </w:t>
      </w:r>
      <w:r w:rsidRPr="00021025">
        <w:lastRenderedPageBreak/>
        <w:t xml:space="preserve">nedostatků ČBÚ následně stanovil opatření k jejich odstranění. Plnění </w:t>
      </w:r>
      <w:r w:rsidR="004273C9">
        <w:t xml:space="preserve">stanovených </w:t>
      </w:r>
      <w:r w:rsidRPr="00021025">
        <w:t xml:space="preserve">opatření bylo následně kontrolováno orgány SBS. </w:t>
      </w:r>
    </w:p>
    <w:p w:rsidR="00403A1C" w:rsidRDefault="00021025" w:rsidP="00E20F87">
      <w:r w:rsidRPr="00021025">
        <w:t>Č</w:t>
      </w:r>
      <w:r w:rsidR="005C7397">
        <w:t>BÚ</w:t>
      </w:r>
      <w:r w:rsidRPr="00021025">
        <w:t xml:space="preserve"> dále prováděl kontrolní činnost v dozorovaných organizacích formou specializovaných inspekčních prohlídek, a to jednak dle </w:t>
      </w:r>
      <w:r w:rsidR="00396B82">
        <w:t>PHÚ</w:t>
      </w:r>
      <w:r w:rsidRPr="00021025">
        <w:t>, nebo formou neohlášených kontrol.</w:t>
      </w:r>
    </w:p>
    <w:p w:rsidR="0038020A" w:rsidRDefault="00403A1C" w:rsidP="00E20F87">
      <w:r w:rsidRPr="00AA0962">
        <w:rPr>
          <w:rFonts w:eastAsia="Calibri"/>
          <w:lang w:eastAsia="en-US"/>
        </w:rPr>
        <w:t xml:space="preserve">Ve správním řízení bylo </w:t>
      </w:r>
      <w:r>
        <w:rPr>
          <w:rFonts w:eastAsia="Calibri"/>
          <w:lang w:eastAsia="en-US"/>
        </w:rPr>
        <w:t xml:space="preserve">ČBÚ </w:t>
      </w:r>
      <w:r w:rsidRPr="00AA0962">
        <w:rPr>
          <w:rFonts w:eastAsia="Calibri"/>
          <w:lang w:eastAsia="en-US"/>
        </w:rPr>
        <w:t>uloženo právnickým osobám</w:t>
      </w:r>
      <w:r w:rsidR="00021025" w:rsidRPr="00021025">
        <w:t xml:space="preserve"> </w:t>
      </w:r>
      <w:r>
        <w:t xml:space="preserve">11 pokut v celkové výši 231 tis. Kč. </w:t>
      </w:r>
    </w:p>
    <w:p w:rsidR="007E35BE" w:rsidRPr="00683B93" w:rsidRDefault="007E35BE" w:rsidP="00E20F87">
      <w:pPr>
        <w:pStyle w:val="Nadpis2"/>
      </w:pPr>
      <w:bookmarkStart w:id="12" w:name="_Toc422823300"/>
      <w:r w:rsidRPr="00683B93">
        <w:t xml:space="preserve">Kontrolní a inspekční </w:t>
      </w:r>
      <w:r w:rsidR="002A7056" w:rsidRPr="00683B93">
        <w:t xml:space="preserve">činnost </w:t>
      </w:r>
      <w:r w:rsidR="004273C9">
        <w:t>OBÚ</w:t>
      </w:r>
      <w:bookmarkEnd w:id="12"/>
    </w:p>
    <w:p w:rsidR="00C95D7A" w:rsidRPr="00683B93" w:rsidRDefault="00E81F55" w:rsidP="00E20F87">
      <w:r w:rsidRPr="00683B93">
        <w:t>OBÚ</w:t>
      </w:r>
      <w:r w:rsidR="00A71233" w:rsidRPr="00683B93">
        <w:t xml:space="preserve"> vykonávaly svou kontrolní a inspekční činnost především prostřednictvím komplexních prověrek v dozorovaných organizacích a dále jednotlivými kontrolními prohlídkami příslušnými obvodními báňskými inspektory.</w:t>
      </w:r>
      <w:r w:rsidR="00C95D7A" w:rsidRPr="00683B93">
        <w:t xml:space="preserve"> </w:t>
      </w:r>
    </w:p>
    <w:p w:rsidR="00244329" w:rsidRDefault="00FB6F21" w:rsidP="00E20F87">
      <w:r w:rsidRPr="00FB6E4D">
        <w:t>Celkem bylo v roce 201</w:t>
      </w:r>
      <w:r w:rsidR="00B736B3" w:rsidRPr="00FB6E4D">
        <w:t>4</w:t>
      </w:r>
      <w:r w:rsidRPr="00FB6E4D">
        <w:t xml:space="preserve"> při inspekční a kontrolní činnosti odpracováno báňskými inspektory</w:t>
      </w:r>
      <w:r w:rsidRPr="003E3F5B">
        <w:t xml:space="preserve"> </w:t>
      </w:r>
      <w:r w:rsidR="004C771F">
        <w:br/>
      </w:r>
      <w:r w:rsidR="00FB6E4D">
        <w:t>4 907</w:t>
      </w:r>
      <w:r w:rsidR="00920057">
        <w:t> </w:t>
      </w:r>
      <w:r w:rsidRPr="003E3F5B">
        <w:t xml:space="preserve">směn, z toho </w:t>
      </w:r>
      <w:r w:rsidR="00FB6E4D">
        <w:t>688</w:t>
      </w:r>
      <w:r w:rsidRPr="003E3F5B">
        <w:t xml:space="preserve"> směn při hlubinném dobývání uhlí, </w:t>
      </w:r>
      <w:r w:rsidR="00FB6E4D">
        <w:t>364</w:t>
      </w:r>
      <w:r w:rsidR="0028418A">
        <w:t xml:space="preserve"> </w:t>
      </w:r>
      <w:r w:rsidRPr="003E3F5B">
        <w:t xml:space="preserve">směn při povrchovém dobývání uhlí, </w:t>
      </w:r>
      <w:r w:rsidR="00FB6E4D">
        <w:t>2</w:t>
      </w:r>
      <w:r w:rsidR="009A10FA">
        <w:t xml:space="preserve"> </w:t>
      </w:r>
      <w:r w:rsidR="00FB6E4D">
        <w:t>385</w:t>
      </w:r>
      <w:r w:rsidRPr="003E3F5B">
        <w:t xml:space="preserve"> směn při těžbě ostatních nerostných surovin</w:t>
      </w:r>
      <w:r w:rsidR="009A10FA">
        <w:t>, 308 směn při výrobě a nakládání s výbušninami</w:t>
      </w:r>
      <w:r w:rsidRPr="003E3F5B">
        <w:t xml:space="preserve"> a </w:t>
      </w:r>
      <w:r w:rsidR="009A10FA">
        <w:t xml:space="preserve">1 </w:t>
      </w:r>
      <w:r w:rsidR="009A10FA" w:rsidRPr="009A10FA">
        <w:t>1</w:t>
      </w:r>
      <w:r w:rsidR="009A10FA">
        <w:t>62</w:t>
      </w:r>
      <w:r w:rsidRPr="003E3F5B">
        <w:t xml:space="preserve"> směn při os</w:t>
      </w:r>
      <w:r w:rsidR="00B736B3">
        <w:t>tatních činnostech. Dalším krité</w:t>
      </w:r>
      <w:r w:rsidRPr="003E3F5B">
        <w:t xml:space="preserve">riem bylo dělení dle rozložení v průběhu pracovního dne - v ranní směně se uskutečnilo celkem </w:t>
      </w:r>
      <w:r w:rsidR="009A10FA">
        <w:t>4 090</w:t>
      </w:r>
      <w:r w:rsidRPr="003E3F5B">
        <w:t xml:space="preserve"> inspekcí, v odpolední směně </w:t>
      </w:r>
      <w:r w:rsidR="004C771F">
        <w:br/>
      </w:r>
      <w:r w:rsidR="009A10FA">
        <w:t xml:space="preserve">636 </w:t>
      </w:r>
      <w:r w:rsidR="00287354">
        <w:t>inspekcí a</w:t>
      </w:r>
      <w:r w:rsidRPr="003E3F5B">
        <w:t xml:space="preserve"> v noční směně </w:t>
      </w:r>
      <w:r w:rsidR="009A10FA">
        <w:t>35</w:t>
      </w:r>
      <w:r w:rsidR="00287354">
        <w:t xml:space="preserve"> inspekcí. V</w:t>
      </w:r>
      <w:r w:rsidRPr="003E3F5B">
        <w:t xml:space="preserve"> nepracovní dny se uskutečnilo </w:t>
      </w:r>
      <w:r w:rsidR="009A10FA">
        <w:t>146</w:t>
      </w:r>
      <w:r w:rsidRPr="003E3F5B">
        <w:t xml:space="preserve"> inspekcí. </w:t>
      </w:r>
    </w:p>
    <w:p w:rsidR="005F7949" w:rsidRDefault="00B736B3" w:rsidP="00E20F87">
      <w:r>
        <w:t xml:space="preserve">V průběhu roku </w:t>
      </w:r>
      <w:r w:rsidRPr="009A10FA">
        <w:t>2014</w:t>
      </w:r>
      <w:r w:rsidR="005F7949" w:rsidRPr="00A62A23">
        <w:t xml:space="preserve"> udělily </w:t>
      </w:r>
      <w:r w:rsidR="00403A1C">
        <w:t xml:space="preserve">OBÚ </w:t>
      </w:r>
      <w:r w:rsidR="005F7949" w:rsidRPr="00A62A23">
        <w:t xml:space="preserve">při výkonu vrchního dozoru pokuty v celkové výši </w:t>
      </w:r>
      <w:r w:rsidR="004C771F">
        <w:br/>
      </w:r>
      <w:r w:rsidR="009A10FA">
        <w:t>3.</w:t>
      </w:r>
      <w:r w:rsidR="009C0405">
        <w:t>256</w:t>
      </w:r>
      <w:r w:rsidR="009A10FA">
        <w:t>,65</w:t>
      </w:r>
      <w:r w:rsidR="005F7949" w:rsidRPr="00A62A23">
        <w:t xml:space="preserve"> </w:t>
      </w:r>
      <w:r w:rsidR="005F7949">
        <w:t xml:space="preserve">tis. </w:t>
      </w:r>
      <w:r w:rsidR="005F7949" w:rsidRPr="00A62A23">
        <w:t>Kč za správní delikty podle zákona č. 61/1988 Sb., a za přestupky podle zákona</w:t>
      </w:r>
      <w:r w:rsidR="005F7949">
        <w:t xml:space="preserve"> </w:t>
      </w:r>
      <w:r w:rsidR="005F7949" w:rsidRPr="00A62A23">
        <w:t>č.</w:t>
      </w:r>
      <w:r w:rsidR="005F7949">
        <w:t> </w:t>
      </w:r>
      <w:r w:rsidR="005F7949" w:rsidRPr="00A62A23">
        <w:t>200/1990</w:t>
      </w:r>
      <w:r w:rsidR="0028418A">
        <w:t xml:space="preserve"> </w:t>
      </w:r>
      <w:r w:rsidR="005F7949" w:rsidRPr="00A62A23">
        <w:t xml:space="preserve">Sb., o </w:t>
      </w:r>
      <w:r w:rsidR="005F7949">
        <w:t>přestupcích</w:t>
      </w:r>
      <w:r w:rsidR="005F7949" w:rsidRPr="00A62A23">
        <w:t xml:space="preserve">, ve znění pozdějších předpisů. </w:t>
      </w:r>
    </w:p>
    <w:p w:rsidR="00A22779" w:rsidRPr="007D2307" w:rsidRDefault="00B736B3" w:rsidP="00E20F87">
      <w:pPr>
        <w:rPr>
          <w:rFonts w:eastAsia="Calibri"/>
          <w:lang w:eastAsia="en-US"/>
        </w:rPr>
      </w:pPr>
      <w:r w:rsidRPr="007D2307">
        <w:t>V roce 2014</w:t>
      </w:r>
      <w:r w:rsidR="005F7949" w:rsidRPr="007D2307">
        <w:t xml:space="preserve"> bylo uloženo </w:t>
      </w:r>
      <w:r w:rsidR="009A10FA" w:rsidRPr="007D2307">
        <w:t>369</w:t>
      </w:r>
      <w:r w:rsidR="005F7949" w:rsidRPr="007D2307">
        <w:t xml:space="preserve"> blokových pokut v celkové výši </w:t>
      </w:r>
      <w:r w:rsidR="009A10FA" w:rsidRPr="007D2307">
        <w:t>359,65</w:t>
      </w:r>
      <w:r w:rsidR="005F7949" w:rsidRPr="007D2307">
        <w:t xml:space="preserve"> tis. Kč. </w:t>
      </w:r>
      <w:r w:rsidR="00A22779" w:rsidRPr="007D2307">
        <w:rPr>
          <w:rFonts w:eastAsia="Calibri"/>
          <w:lang w:eastAsia="en-US"/>
        </w:rPr>
        <w:t xml:space="preserve">Nejvíce blokových pokut </w:t>
      </w:r>
      <w:r w:rsidR="00A242EC">
        <w:rPr>
          <w:rFonts w:eastAsia="Calibri"/>
          <w:lang w:eastAsia="en-US"/>
        </w:rPr>
        <w:t>(</w:t>
      </w:r>
      <w:r w:rsidR="00A22779" w:rsidRPr="007D2307">
        <w:rPr>
          <w:rFonts w:eastAsia="Calibri"/>
          <w:lang w:eastAsia="en-US"/>
        </w:rPr>
        <w:t>130</w:t>
      </w:r>
      <w:r w:rsidR="00A242EC">
        <w:rPr>
          <w:rFonts w:eastAsia="Calibri"/>
          <w:lang w:eastAsia="en-US"/>
        </w:rPr>
        <w:t>)</w:t>
      </w:r>
      <w:r w:rsidR="00A22779" w:rsidRPr="007D2307">
        <w:rPr>
          <w:rFonts w:eastAsia="Calibri"/>
          <w:lang w:eastAsia="en-US"/>
        </w:rPr>
        <w:t xml:space="preserve"> v celkové výši 113,5 tis. Kč, bylo uděleno při dobývání nerudních surovin povrchovým způsobem, 125 blokových pokut v celkové 143</w:t>
      </w:r>
      <w:r w:rsidR="00F8535F">
        <w:rPr>
          <w:rFonts w:eastAsia="Calibri"/>
          <w:lang w:eastAsia="en-US"/>
        </w:rPr>
        <w:t>,0</w:t>
      </w:r>
      <w:r w:rsidR="00A22779" w:rsidRPr="007D2307">
        <w:rPr>
          <w:rFonts w:eastAsia="Calibri"/>
          <w:lang w:eastAsia="en-US"/>
        </w:rPr>
        <w:t xml:space="preserve"> tis. Kč bylo uděleno při hlubinném dobývání uhlí, dále 37 blokových pokut v celkové výši 27,75 tis. Kč, bylo</w:t>
      </w:r>
      <w:r w:rsidR="00A22779" w:rsidRPr="007D2307">
        <w:rPr>
          <w:rFonts w:eastAsia="Calibri"/>
          <w:b/>
          <w:lang w:eastAsia="en-US"/>
        </w:rPr>
        <w:t xml:space="preserve"> </w:t>
      </w:r>
      <w:r w:rsidR="00A22779" w:rsidRPr="007D2307">
        <w:rPr>
          <w:rFonts w:eastAsia="Calibri"/>
          <w:lang w:eastAsia="en-US"/>
        </w:rPr>
        <w:t>uděleno při činnosti prováděné</w:t>
      </w:r>
      <w:r w:rsidR="00A22779" w:rsidRPr="007D2307">
        <w:rPr>
          <w:rFonts w:eastAsia="Calibri"/>
          <w:i/>
          <w:lang w:eastAsia="en-US"/>
        </w:rPr>
        <w:t xml:space="preserve"> </w:t>
      </w:r>
      <w:r w:rsidR="00A22779" w:rsidRPr="007D2307">
        <w:rPr>
          <w:rFonts w:eastAsia="Calibri"/>
          <w:lang w:eastAsia="en-US"/>
        </w:rPr>
        <w:t>hornickým způsobem na povrchu, 30 blokových pokut v celkové výši 21 tis. Kč při dobývání hnědého uhlí, 25 blokových pokut při činnosti prováděné hornickým způsobem v podzemí v celkové výši 26</w:t>
      </w:r>
      <w:r w:rsidR="00F8535F">
        <w:rPr>
          <w:rFonts w:eastAsia="Calibri"/>
          <w:lang w:eastAsia="en-US"/>
        </w:rPr>
        <w:t>,</w:t>
      </w:r>
      <w:r w:rsidR="00A22779" w:rsidRPr="007D2307">
        <w:rPr>
          <w:rFonts w:eastAsia="Calibri"/>
          <w:lang w:eastAsia="en-US"/>
        </w:rPr>
        <w:t>5 tis. Kč, 12 blokových pokut 17,5 tis. Kč při výrobě a používání výbušnin, 6 blokových pokut v celkové výši 9 tis. Kč při ostatních činnostech dozorovaných orgány SBS, 2 blokové pokuty v celkové výši 1 tis. Kč při dobývání rudních surovin a 2 blokové pokuty v celkové výši 0,4 tis. Kč při dobývání nerudních surovin povrchovým způsobem.</w:t>
      </w:r>
      <w:r w:rsidR="00A22779" w:rsidRPr="007D2307">
        <w:rPr>
          <w:rFonts w:eastAsia="Calibri"/>
          <w:color w:val="4F81BD" w:themeColor="accent1"/>
          <w:lang w:eastAsia="en-US"/>
        </w:rPr>
        <w:t xml:space="preserve"> </w:t>
      </w:r>
    </w:p>
    <w:p w:rsidR="009C0405" w:rsidRDefault="009C0405" w:rsidP="00E20F87">
      <w:pPr>
        <w:rPr>
          <w:rFonts w:eastAsia="Calibri"/>
          <w:lang w:eastAsia="en-US"/>
        </w:rPr>
      </w:pPr>
      <w:r w:rsidRPr="00A62A23">
        <w:t xml:space="preserve">Ve správním řízení bylo </w:t>
      </w:r>
      <w:r>
        <w:t xml:space="preserve">OBÚ </w:t>
      </w:r>
      <w:r w:rsidRPr="00A62A23">
        <w:t xml:space="preserve">uloženo právnickým a podnikajícím fyzickým osobám celkem </w:t>
      </w:r>
      <w:r>
        <w:t>16</w:t>
      </w:r>
      <w:r w:rsidRPr="009A10FA">
        <w:t xml:space="preserve"> pokut v celkové výši </w:t>
      </w:r>
      <w:r>
        <w:t>2</w:t>
      </w:r>
      <w:r w:rsidRPr="009A10FA">
        <w:t>.</w:t>
      </w:r>
      <w:r>
        <w:t>897</w:t>
      </w:r>
      <w:r w:rsidRPr="009A10FA">
        <w:t xml:space="preserve"> tis. Kč.</w:t>
      </w:r>
      <w:r>
        <w:t>, z toho v</w:t>
      </w:r>
      <w:r w:rsidR="00A22779" w:rsidRPr="00AA0962">
        <w:rPr>
          <w:rFonts w:eastAsia="Calibri"/>
          <w:lang w:eastAsia="en-US"/>
        </w:rPr>
        <w:t xml:space="preserve">e správním řízení bylo </w:t>
      </w:r>
      <w:r w:rsidR="005C7397">
        <w:rPr>
          <w:rFonts w:eastAsia="Calibri"/>
          <w:lang w:eastAsia="en-US"/>
        </w:rPr>
        <w:t>OBÚ</w:t>
      </w:r>
      <w:r w:rsidR="00A22779" w:rsidRPr="00AA0962">
        <w:rPr>
          <w:rFonts w:eastAsia="Calibri"/>
          <w:lang w:eastAsia="en-US"/>
        </w:rPr>
        <w:t xml:space="preserve"> uloženo právnickým osobám </w:t>
      </w:r>
      <w:r>
        <w:rPr>
          <w:rFonts w:eastAsia="Calibri"/>
          <w:lang w:eastAsia="en-US"/>
        </w:rPr>
        <w:t>11</w:t>
      </w:r>
      <w:r w:rsidR="00A22779" w:rsidRPr="00AA0962">
        <w:rPr>
          <w:rFonts w:eastAsia="Calibri"/>
          <w:lang w:eastAsia="en-US"/>
        </w:rPr>
        <w:t xml:space="preserve"> pokut ve výši </w:t>
      </w:r>
      <w:r>
        <w:rPr>
          <w:rFonts w:eastAsia="Calibri"/>
          <w:lang w:eastAsia="en-US"/>
        </w:rPr>
        <w:t>2</w:t>
      </w:r>
      <w:r w:rsidR="00A22779" w:rsidRPr="00AA0962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856</w:t>
      </w:r>
      <w:r w:rsidR="00A22779" w:rsidRPr="00AA0962">
        <w:rPr>
          <w:rFonts w:eastAsia="Calibri"/>
          <w:lang w:eastAsia="en-US"/>
        </w:rPr>
        <w:t xml:space="preserve"> tis. Kč</w:t>
      </w:r>
      <w:r>
        <w:rPr>
          <w:rFonts w:eastAsia="Calibri"/>
          <w:lang w:eastAsia="en-US"/>
        </w:rPr>
        <w:t xml:space="preserve"> a fyzickým osobám celkem 5 pokut v celkové výši 41 tis. Kč.</w:t>
      </w:r>
      <w:r w:rsidR="00A22779" w:rsidRPr="00AA0962">
        <w:rPr>
          <w:rFonts w:eastAsia="Calibri"/>
          <w:lang w:eastAsia="en-US"/>
        </w:rPr>
        <w:t xml:space="preserve"> </w:t>
      </w:r>
    </w:p>
    <w:p w:rsidR="009C0405" w:rsidRDefault="009C0405" w:rsidP="0028418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Pokuty uložené právnickým osobám byly </w:t>
      </w:r>
      <w:r w:rsidR="004256E2">
        <w:rPr>
          <w:rFonts w:eastAsia="Calibri"/>
          <w:lang w:eastAsia="en-US"/>
        </w:rPr>
        <w:t>v následujících</w:t>
      </w:r>
      <w:r>
        <w:rPr>
          <w:rFonts w:eastAsia="Calibri"/>
          <w:lang w:eastAsia="en-US"/>
        </w:rPr>
        <w:t xml:space="preserve"> oblast</w:t>
      </w:r>
      <w:r w:rsidR="009F1459">
        <w:rPr>
          <w:rFonts w:eastAsia="Calibri"/>
          <w:lang w:eastAsia="en-US"/>
        </w:rPr>
        <w:t>ech</w:t>
      </w:r>
      <w:r>
        <w:rPr>
          <w:rFonts w:eastAsia="Calibri"/>
          <w:lang w:eastAsia="en-US"/>
        </w:rPr>
        <w:t xml:space="preserve"> </w:t>
      </w:r>
      <w:r w:rsidR="004256E2">
        <w:rPr>
          <w:rFonts w:eastAsia="Calibri"/>
          <w:lang w:eastAsia="en-US"/>
        </w:rPr>
        <w:t>hornické činnosti nebo činnosti prováděné hornickým způsobem</w:t>
      </w:r>
      <w:r w:rsidR="007B6DD1">
        <w:rPr>
          <w:rFonts w:eastAsia="Calibri"/>
          <w:lang w:eastAsia="en-US"/>
        </w:rPr>
        <w:t>:</w:t>
      </w:r>
    </w:p>
    <w:p w:rsidR="00A22779" w:rsidRPr="00E20F87" w:rsidRDefault="00A2277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E20F87">
        <w:t>při hlubinném dobývání uhlí 4 pokuty v celkové výši 1.314 tis. Kč,</w:t>
      </w:r>
    </w:p>
    <w:p w:rsidR="00A22779" w:rsidRPr="00AA0962" w:rsidRDefault="00A2277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AA0962">
        <w:t>při</w:t>
      </w:r>
      <w:r w:rsidR="00210150">
        <w:t xml:space="preserve"> povrchovém </w:t>
      </w:r>
      <w:r w:rsidRPr="00AA0962">
        <w:t xml:space="preserve">dobývání </w:t>
      </w:r>
      <w:r w:rsidR="00210150">
        <w:t>uhlí</w:t>
      </w:r>
      <w:r w:rsidRPr="00AA0962">
        <w:t xml:space="preserve"> byly uloženy celkem 2 pokuty v celkové výši 1.152 tis. Kč,</w:t>
      </w:r>
    </w:p>
    <w:p w:rsidR="00A22779" w:rsidRPr="00AA0962" w:rsidRDefault="00A2277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AA0962">
        <w:t xml:space="preserve">při dobývání nerudních surovin povrchovým způsobem byly uloženy celkem 3 pokuty v celkové výši 183 tis. Kč, </w:t>
      </w:r>
    </w:p>
    <w:p w:rsidR="00A22779" w:rsidRPr="009C0405" w:rsidRDefault="00A22779" w:rsidP="00E20F87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AA0962">
        <w:t>při činnosti prováděné hornickým způsobem 2 pokuty v celkové výši 207 tis. Kč</w:t>
      </w:r>
      <w:r w:rsidR="009C0405">
        <w:t>.</w:t>
      </w:r>
    </w:p>
    <w:p w:rsidR="00424A7A" w:rsidRPr="00317382" w:rsidRDefault="00FB6F21" w:rsidP="0028418A">
      <w:r w:rsidRPr="00E25133">
        <w:lastRenderedPageBreak/>
        <w:t>V souladu s § 42 zákona č. 61/1988 Sb. bylo vydáno v roce 201</w:t>
      </w:r>
      <w:r w:rsidR="00733029" w:rsidRPr="00E25133">
        <w:t>4</w:t>
      </w:r>
      <w:r w:rsidRPr="00E25133">
        <w:t xml:space="preserve"> </w:t>
      </w:r>
      <w:r w:rsidR="009535A8" w:rsidRPr="00E25133">
        <w:t xml:space="preserve">obvodními </w:t>
      </w:r>
      <w:r w:rsidRPr="00E25133">
        <w:t>báňskými inspektory celkem</w:t>
      </w:r>
      <w:r w:rsidR="009B7735" w:rsidRPr="00E25133">
        <w:t xml:space="preserve"> 43</w:t>
      </w:r>
      <w:r w:rsidRPr="00E25133">
        <w:t xml:space="preserve"> závazných příkazů k zastavení provozu organizace nebo její části. Nejčastějším důvodem zastavení provozu byly zjištěné závady </w:t>
      </w:r>
      <w:r w:rsidR="003A1A5C" w:rsidRPr="00E25133">
        <w:t>na strojních zařízeních a to v </w:t>
      </w:r>
      <w:r w:rsidR="009B7735" w:rsidRPr="00E25133">
        <w:t>17 případech</w:t>
      </w:r>
      <w:r w:rsidR="003A1A5C" w:rsidRPr="00E25133">
        <w:t>.</w:t>
      </w:r>
      <w:r w:rsidRPr="00FB6F21">
        <w:t xml:space="preserve"> </w:t>
      </w:r>
    </w:p>
    <w:p w:rsidR="008175A7" w:rsidRDefault="007E35BE" w:rsidP="0028418A">
      <w:bookmarkStart w:id="13" w:name="_1011518233"/>
      <w:bookmarkEnd w:id="13"/>
      <w:r w:rsidRPr="00767EF0">
        <w:t xml:space="preserve">Následující </w:t>
      </w:r>
      <w:r w:rsidR="007B6DD1">
        <w:t xml:space="preserve">přehledná </w:t>
      </w:r>
      <w:r w:rsidRPr="00767EF0">
        <w:t xml:space="preserve">tabulka č. </w:t>
      </w:r>
      <w:r w:rsidR="007B6DD1">
        <w:t>8</w:t>
      </w:r>
      <w:r w:rsidRPr="00767EF0">
        <w:t xml:space="preserve"> přináší rozdělení udělených sankcí </w:t>
      </w:r>
      <w:r w:rsidR="00C36E78" w:rsidRPr="00767EF0">
        <w:t>dozorovaným organizacím</w:t>
      </w:r>
      <w:r w:rsidR="00A0605E" w:rsidRPr="00767EF0">
        <w:t xml:space="preserve"> </w:t>
      </w:r>
      <w:r w:rsidRPr="00767EF0">
        <w:t>podle charakteru provozované činnosti.</w:t>
      </w:r>
    </w:p>
    <w:p w:rsidR="007E35BE" w:rsidRPr="001B77E8" w:rsidRDefault="007E35BE" w:rsidP="001B77E8">
      <w:pPr>
        <w:ind w:left="1560" w:hanging="1560"/>
        <w:jc w:val="left"/>
        <w:rPr>
          <w:rStyle w:val="Nzevknihy"/>
        </w:rPr>
      </w:pPr>
      <w:r w:rsidRPr="001B77E8">
        <w:rPr>
          <w:rStyle w:val="Nzevknihy"/>
        </w:rPr>
        <w:t xml:space="preserve">Tabulka č. </w:t>
      </w:r>
      <w:r w:rsidR="007B6DD1" w:rsidRPr="001B77E8">
        <w:rPr>
          <w:rStyle w:val="Nzevknihy"/>
        </w:rPr>
        <w:t>8</w:t>
      </w:r>
      <w:r w:rsidR="00AE7C25" w:rsidRPr="001B77E8">
        <w:rPr>
          <w:rStyle w:val="Nzevknihy"/>
        </w:rPr>
        <w:t xml:space="preserve"> - </w:t>
      </w:r>
      <w:r w:rsidR="00E20F87" w:rsidRPr="001B77E8">
        <w:rPr>
          <w:rStyle w:val="Nzevknihy"/>
        </w:rPr>
        <w:t>R</w:t>
      </w:r>
      <w:r w:rsidR="00AE7C25" w:rsidRPr="001B77E8">
        <w:rPr>
          <w:rStyle w:val="Nzevknihy"/>
        </w:rPr>
        <w:t xml:space="preserve">ozdělení udělených sankcí </w:t>
      </w:r>
      <w:r w:rsidR="004A410A" w:rsidRPr="001B77E8">
        <w:rPr>
          <w:rStyle w:val="Nzevknihy"/>
        </w:rPr>
        <w:t>v roce 201</w:t>
      </w:r>
      <w:r w:rsidR="00733029" w:rsidRPr="001B77E8">
        <w:rPr>
          <w:rStyle w:val="Nzevknihy"/>
        </w:rPr>
        <w:t>4</w:t>
      </w:r>
      <w:r w:rsidR="004A410A" w:rsidRPr="001B77E8">
        <w:rPr>
          <w:rStyle w:val="Nzevknihy"/>
        </w:rPr>
        <w:t xml:space="preserve"> </w:t>
      </w:r>
      <w:r w:rsidR="00AE7C25" w:rsidRPr="001B77E8">
        <w:rPr>
          <w:rStyle w:val="Nzevknihy"/>
        </w:rPr>
        <w:t>podle charakteru provozované činnosti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  <w:gridCol w:w="865"/>
        <w:gridCol w:w="923"/>
        <w:gridCol w:w="562"/>
        <w:gridCol w:w="730"/>
        <w:gridCol w:w="831"/>
        <w:gridCol w:w="607"/>
        <w:gridCol w:w="665"/>
        <w:gridCol w:w="861"/>
        <w:gridCol w:w="742"/>
        <w:gridCol w:w="996"/>
        <w:gridCol w:w="1077"/>
      </w:tblGrid>
      <w:tr w:rsidR="00D91552" w:rsidRPr="00E20F87" w:rsidTr="00DA0909">
        <w:trPr>
          <w:cantSplit/>
          <w:trHeight w:val="255"/>
        </w:trPr>
        <w:tc>
          <w:tcPr>
            <w:tcW w:w="535" w:type="pct"/>
            <w:vMerge w:val="restar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28418A">
            <w:pPr>
              <w:rPr>
                <w:sz w:val="18"/>
                <w:szCs w:val="18"/>
              </w:rPr>
            </w:pPr>
          </w:p>
          <w:p w:rsidR="00D91552" w:rsidRPr="001B77E8" w:rsidRDefault="00D91552" w:rsidP="0028418A">
            <w:pPr>
              <w:rPr>
                <w:sz w:val="18"/>
                <w:szCs w:val="18"/>
              </w:rPr>
            </w:pPr>
          </w:p>
          <w:p w:rsidR="00D91552" w:rsidRPr="001B77E8" w:rsidRDefault="00D91552" w:rsidP="0028418A">
            <w:pPr>
              <w:rPr>
                <w:sz w:val="18"/>
                <w:szCs w:val="18"/>
              </w:rPr>
            </w:pPr>
          </w:p>
        </w:tc>
        <w:tc>
          <w:tcPr>
            <w:tcW w:w="2612" w:type="pct"/>
            <w:gridSpan w:val="7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Hornická činnost</w:t>
            </w:r>
          </w:p>
        </w:tc>
        <w:tc>
          <w:tcPr>
            <w:tcW w:w="808" w:type="pct"/>
            <w:gridSpan w:val="2"/>
            <w:vMerge w:val="restar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Činnost prováděná</w:t>
            </w:r>
            <w:r w:rsidR="00E20F87" w:rsidRPr="001B77E8">
              <w:rPr>
                <w:sz w:val="18"/>
                <w:szCs w:val="18"/>
              </w:rPr>
              <w:br/>
            </w:r>
            <w:r w:rsidRPr="001B77E8">
              <w:rPr>
                <w:sz w:val="18"/>
                <w:szCs w:val="18"/>
              </w:rPr>
              <w:t>hornickým způsobem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Výroba</w:t>
            </w:r>
            <w:r w:rsidR="00E20F87" w:rsidRPr="001B77E8">
              <w:rPr>
                <w:sz w:val="18"/>
                <w:szCs w:val="18"/>
              </w:rPr>
              <w:br/>
            </w:r>
            <w:r w:rsidRPr="001B77E8">
              <w:rPr>
                <w:sz w:val="18"/>
                <w:szCs w:val="18"/>
              </w:rPr>
              <w:t>a používání</w:t>
            </w:r>
            <w:r w:rsidR="00E20F87" w:rsidRPr="001B77E8">
              <w:rPr>
                <w:sz w:val="18"/>
                <w:szCs w:val="18"/>
              </w:rPr>
              <w:br/>
            </w:r>
            <w:r w:rsidRPr="001B77E8">
              <w:rPr>
                <w:sz w:val="18"/>
                <w:szCs w:val="18"/>
              </w:rPr>
              <w:t>výbušnin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Celkem</w:t>
            </w:r>
          </w:p>
        </w:tc>
      </w:tr>
      <w:tr w:rsidR="00D91552" w:rsidRPr="00E20F87" w:rsidTr="00DA0909">
        <w:trPr>
          <w:cantSplit/>
          <w:trHeight w:val="255"/>
        </w:trPr>
        <w:tc>
          <w:tcPr>
            <w:tcW w:w="53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28418A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uhlí</w:t>
            </w:r>
          </w:p>
        </w:tc>
        <w:tc>
          <w:tcPr>
            <w:tcW w:w="283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E20F87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r</w:t>
            </w:r>
            <w:r w:rsidR="00D91552" w:rsidRPr="001B77E8">
              <w:rPr>
                <w:sz w:val="18"/>
                <w:szCs w:val="18"/>
              </w:rPr>
              <w:t>udy</w:t>
            </w:r>
          </w:p>
        </w:tc>
        <w:tc>
          <w:tcPr>
            <w:tcW w:w="78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B77E8">
              <w:rPr>
                <w:sz w:val="18"/>
                <w:szCs w:val="18"/>
              </w:rPr>
              <w:t>nerudy</w:t>
            </w:r>
            <w:proofErr w:type="spellEnd"/>
          </w:p>
        </w:tc>
        <w:tc>
          <w:tcPr>
            <w:tcW w:w="30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ropa</w:t>
            </w:r>
            <w:r w:rsidR="00E20F87" w:rsidRPr="001B77E8">
              <w:rPr>
                <w:sz w:val="18"/>
                <w:szCs w:val="18"/>
              </w:rPr>
              <w:br/>
            </w:r>
            <w:r w:rsidRPr="001B77E8">
              <w:rPr>
                <w:sz w:val="18"/>
                <w:szCs w:val="18"/>
              </w:rPr>
              <w:t>plyn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ostatní</w:t>
            </w:r>
          </w:p>
        </w:tc>
        <w:tc>
          <w:tcPr>
            <w:tcW w:w="808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37C07" w:rsidRPr="00E20F87" w:rsidTr="00DA0909">
        <w:trPr>
          <w:cantSplit/>
          <w:trHeight w:val="270"/>
        </w:trPr>
        <w:tc>
          <w:tcPr>
            <w:tcW w:w="53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28418A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hlubina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lomy</w:t>
            </w:r>
          </w:p>
        </w:tc>
        <w:tc>
          <w:tcPr>
            <w:tcW w:w="28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hlubina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lomy</w:t>
            </w:r>
          </w:p>
        </w:tc>
        <w:tc>
          <w:tcPr>
            <w:tcW w:w="30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hlubina</w:t>
            </w:r>
          </w:p>
        </w:tc>
        <w:tc>
          <w:tcPr>
            <w:tcW w:w="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lomy</w:t>
            </w:r>
          </w:p>
        </w:tc>
        <w:tc>
          <w:tcPr>
            <w:tcW w:w="50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D91552" w:rsidRPr="001B77E8" w:rsidRDefault="00D91552" w:rsidP="00E20F8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463C9" w:rsidRPr="00E20F87" w:rsidTr="00DA0909">
        <w:trPr>
          <w:trHeight w:val="510"/>
        </w:trPr>
        <w:tc>
          <w:tcPr>
            <w:tcW w:w="535" w:type="pct"/>
            <w:tcBorders>
              <w:top w:val="single" w:sz="6" w:space="0" w:color="auto"/>
            </w:tcBorders>
            <w:vAlign w:val="center"/>
          </w:tcPr>
          <w:p w:rsidR="0047209D" w:rsidRPr="001B77E8" w:rsidRDefault="0047209D" w:rsidP="00E20F87">
            <w:pPr>
              <w:ind w:firstLine="0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Pokuty celkem</w:t>
            </w:r>
            <w:r w:rsidR="00937C07" w:rsidRPr="001B77E8">
              <w:rPr>
                <w:sz w:val="18"/>
                <w:szCs w:val="18"/>
              </w:rPr>
              <w:t xml:space="preserve"> (Kč)</w:t>
            </w:r>
          </w:p>
        </w:tc>
        <w:tc>
          <w:tcPr>
            <w:tcW w:w="436" w:type="pct"/>
            <w:tcBorders>
              <w:top w:val="single" w:sz="6" w:space="0" w:color="auto"/>
            </w:tcBorders>
            <w:vAlign w:val="center"/>
          </w:tcPr>
          <w:p w:rsidR="0047209D" w:rsidRPr="001B77E8" w:rsidRDefault="00C163E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1 45</w:t>
            </w:r>
            <w:r w:rsidR="00B970A9" w:rsidRPr="001B77E8">
              <w:rPr>
                <w:sz w:val="18"/>
                <w:szCs w:val="18"/>
              </w:rPr>
              <w:t>7 000</w:t>
            </w:r>
          </w:p>
        </w:tc>
        <w:tc>
          <w:tcPr>
            <w:tcW w:w="465" w:type="pct"/>
            <w:tcBorders>
              <w:top w:val="single" w:sz="6" w:space="0" w:color="auto"/>
            </w:tcBorders>
            <w:vAlign w:val="center"/>
          </w:tcPr>
          <w:p w:rsidR="0047209D" w:rsidRPr="001B77E8" w:rsidRDefault="00C163E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1 173</w:t>
            </w:r>
            <w:r w:rsidR="00B970A9" w:rsidRPr="001B77E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283" w:type="pct"/>
            <w:tcBorders>
              <w:top w:val="single" w:sz="6" w:space="0" w:color="auto"/>
            </w:tcBorders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1 000</w:t>
            </w:r>
          </w:p>
        </w:tc>
        <w:tc>
          <w:tcPr>
            <w:tcW w:w="368" w:type="pct"/>
            <w:tcBorders>
              <w:top w:val="single" w:sz="6" w:space="0" w:color="auto"/>
            </w:tcBorders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400</w:t>
            </w:r>
          </w:p>
        </w:tc>
        <w:tc>
          <w:tcPr>
            <w:tcW w:w="419" w:type="pct"/>
            <w:tcBorders>
              <w:top w:val="single" w:sz="6" w:space="0" w:color="auto"/>
            </w:tcBorders>
            <w:vAlign w:val="center"/>
          </w:tcPr>
          <w:p w:rsidR="0047209D" w:rsidRPr="001B77E8" w:rsidRDefault="00C163E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296</w:t>
            </w:r>
            <w:r w:rsidR="00A2547E" w:rsidRPr="001B77E8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306" w:type="pct"/>
            <w:tcBorders>
              <w:top w:val="single" w:sz="6" w:space="0" w:color="auto"/>
            </w:tcBorders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9 000</w:t>
            </w:r>
          </w:p>
        </w:tc>
        <w:tc>
          <w:tcPr>
            <w:tcW w:w="434" w:type="pct"/>
            <w:tcBorders>
              <w:top w:val="single" w:sz="6" w:space="0" w:color="auto"/>
            </w:tcBorders>
            <w:vAlign w:val="center"/>
          </w:tcPr>
          <w:p w:rsidR="0047209D" w:rsidRPr="001B77E8" w:rsidRDefault="00C163E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33</w:t>
            </w:r>
            <w:r w:rsidR="00A2547E" w:rsidRPr="001B77E8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374" w:type="pct"/>
            <w:tcBorders>
              <w:top w:val="single" w:sz="6" w:space="0" w:color="auto"/>
            </w:tcBorders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227 750</w:t>
            </w:r>
          </w:p>
        </w:tc>
        <w:tc>
          <w:tcPr>
            <w:tcW w:w="502" w:type="pct"/>
            <w:tcBorders>
              <w:top w:val="single" w:sz="6" w:space="0" w:color="auto"/>
            </w:tcBorders>
            <w:vAlign w:val="center"/>
          </w:tcPr>
          <w:p w:rsidR="0047209D" w:rsidRPr="001B77E8" w:rsidRDefault="00C163E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289 500</w:t>
            </w:r>
          </w:p>
        </w:tc>
        <w:tc>
          <w:tcPr>
            <w:tcW w:w="544" w:type="pct"/>
            <w:tcBorders>
              <w:top w:val="single" w:sz="6" w:space="0" w:color="auto"/>
            </w:tcBorders>
            <w:vAlign w:val="center"/>
          </w:tcPr>
          <w:p w:rsidR="0047209D" w:rsidRPr="001B77E8" w:rsidRDefault="008A2522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3 487</w:t>
            </w:r>
            <w:r w:rsidR="00A7504B" w:rsidRPr="001B77E8">
              <w:rPr>
                <w:sz w:val="18"/>
                <w:szCs w:val="18"/>
              </w:rPr>
              <w:t xml:space="preserve"> 650</w:t>
            </w:r>
          </w:p>
        </w:tc>
      </w:tr>
      <w:tr w:rsidR="003463C9" w:rsidRPr="00E20F87" w:rsidTr="00DA0909">
        <w:trPr>
          <w:trHeight w:val="510"/>
        </w:trPr>
        <w:tc>
          <w:tcPr>
            <w:tcW w:w="535" w:type="pct"/>
            <w:vAlign w:val="center"/>
          </w:tcPr>
          <w:p w:rsidR="0047209D" w:rsidRPr="001B77E8" w:rsidRDefault="0047209D" w:rsidP="00E20F87">
            <w:pPr>
              <w:ind w:firstLine="0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Blokové pokuty (počet)</w:t>
            </w:r>
          </w:p>
        </w:tc>
        <w:tc>
          <w:tcPr>
            <w:tcW w:w="436" w:type="pct"/>
            <w:vAlign w:val="center"/>
          </w:tcPr>
          <w:p w:rsidR="0047209D" w:rsidRPr="001B77E8" w:rsidRDefault="00B970A9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125</w:t>
            </w:r>
          </w:p>
        </w:tc>
        <w:tc>
          <w:tcPr>
            <w:tcW w:w="465" w:type="pct"/>
            <w:vAlign w:val="center"/>
          </w:tcPr>
          <w:p w:rsidR="0047209D" w:rsidRPr="001B77E8" w:rsidRDefault="00B970A9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30</w:t>
            </w:r>
          </w:p>
        </w:tc>
        <w:tc>
          <w:tcPr>
            <w:tcW w:w="283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</w:t>
            </w:r>
          </w:p>
        </w:tc>
        <w:tc>
          <w:tcPr>
            <w:tcW w:w="368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</w:t>
            </w:r>
          </w:p>
        </w:tc>
        <w:tc>
          <w:tcPr>
            <w:tcW w:w="419" w:type="pct"/>
            <w:vAlign w:val="center"/>
          </w:tcPr>
          <w:p w:rsidR="0047209D" w:rsidRPr="001B77E8" w:rsidRDefault="00647EE1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13</w:t>
            </w:r>
            <w:r w:rsidR="00A2547E" w:rsidRPr="001B77E8">
              <w:rPr>
                <w:sz w:val="18"/>
                <w:szCs w:val="18"/>
              </w:rPr>
              <w:t>0</w:t>
            </w:r>
          </w:p>
        </w:tc>
        <w:tc>
          <w:tcPr>
            <w:tcW w:w="306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6</w:t>
            </w:r>
          </w:p>
        </w:tc>
        <w:tc>
          <w:tcPr>
            <w:tcW w:w="434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25</w:t>
            </w:r>
          </w:p>
        </w:tc>
        <w:tc>
          <w:tcPr>
            <w:tcW w:w="374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37</w:t>
            </w:r>
          </w:p>
        </w:tc>
        <w:tc>
          <w:tcPr>
            <w:tcW w:w="502" w:type="pct"/>
            <w:vAlign w:val="center"/>
          </w:tcPr>
          <w:p w:rsidR="0047209D" w:rsidRPr="001B77E8" w:rsidRDefault="00647EE1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</w:t>
            </w:r>
            <w:r w:rsidR="00A2547E" w:rsidRPr="001B77E8">
              <w:rPr>
                <w:sz w:val="18"/>
                <w:szCs w:val="18"/>
              </w:rPr>
              <w:t>2</w:t>
            </w:r>
          </w:p>
        </w:tc>
        <w:tc>
          <w:tcPr>
            <w:tcW w:w="544" w:type="pct"/>
            <w:vAlign w:val="center"/>
          </w:tcPr>
          <w:p w:rsidR="0047209D" w:rsidRPr="001B77E8" w:rsidRDefault="00A7504B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369</w:t>
            </w:r>
          </w:p>
        </w:tc>
      </w:tr>
      <w:tr w:rsidR="003463C9" w:rsidRPr="00E20F87" w:rsidTr="00DA0909">
        <w:trPr>
          <w:trHeight w:val="765"/>
        </w:trPr>
        <w:tc>
          <w:tcPr>
            <w:tcW w:w="535" w:type="pct"/>
            <w:vAlign w:val="center"/>
          </w:tcPr>
          <w:p w:rsidR="0047209D" w:rsidRPr="001B77E8" w:rsidRDefault="0047209D" w:rsidP="00E20F87">
            <w:pPr>
              <w:ind w:firstLine="0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Blokové pokuty (částka)</w:t>
            </w:r>
          </w:p>
        </w:tc>
        <w:tc>
          <w:tcPr>
            <w:tcW w:w="436" w:type="pct"/>
            <w:vAlign w:val="center"/>
          </w:tcPr>
          <w:p w:rsidR="0047209D" w:rsidRPr="001B77E8" w:rsidRDefault="00B970A9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143 000</w:t>
            </w:r>
          </w:p>
        </w:tc>
        <w:tc>
          <w:tcPr>
            <w:tcW w:w="465" w:type="pct"/>
            <w:vAlign w:val="center"/>
          </w:tcPr>
          <w:p w:rsidR="0047209D" w:rsidRPr="001B77E8" w:rsidRDefault="00B970A9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21 000</w:t>
            </w:r>
          </w:p>
        </w:tc>
        <w:tc>
          <w:tcPr>
            <w:tcW w:w="283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1000</w:t>
            </w:r>
          </w:p>
        </w:tc>
        <w:tc>
          <w:tcPr>
            <w:tcW w:w="368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400</w:t>
            </w:r>
          </w:p>
        </w:tc>
        <w:tc>
          <w:tcPr>
            <w:tcW w:w="419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113 500</w:t>
            </w:r>
          </w:p>
        </w:tc>
        <w:tc>
          <w:tcPr>
            <w:tcW w:w="306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9 000</w:t>
            </w:r>
          </w:p>
        </w:tc>
        <w:tc>
          <w:tcPr>
            <w:tcW w:w="434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26 500</w:t>
            </w:r>
          </w:p>
        </w:tc>
        <w:tc>
          <w:tcPr>
            <w:tcW w:w="374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27 750</w:t>
            </w:r>
          </w:p>
        </w:tc>
        <w:tc>
          <w:tcPr>
            <w:tcW w:w="502" w:type="pct"/>
            <w:vAlign w:val="center"/>
          </w:tcPr>
          <w:p w:rsidR="0047209D" w:rsidRPr="001B77E8" w:rsidRDefault="0058332B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17</w:t>
            </w:r>
            <w:r w:rsidR="00ED388A" w:rsidRPr="001B77E8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544" w:type="pct"/>
            <w:vAlign w:val="center"/>
          </w:tcPr>
          <w:p w:rsidR="0047209D" w:rsidRPr="001B77E8" w:rsidRDefault="00DA7C48" w:rsidP="00E20F87">
            <w:pPr>
              <w:ind w:firstLine="0"/>
              <w:jc w:val="center"/>
              <w:rPr>
                <w:sz w:val="18"/>
                <w:szCs w:val="18"/>
                <w:highlight w:val="green"/>
              </w:rPr>
            </w:pPr>
            <w:r w:rsidRPr="001B77E8">
              <w:rPr>
                <w:sz w:val="18"/>
                <w:szCs w:val="18"/>
              </w:rPr>
              <w:t>359650</w:t>
            </w:r>
          </w:p>
        </w:tc>
      </w:tr>
      <w:tr w:rsidR="003463C9" w:rsidRPr="00E20F87" w:rsidTr="00DA0909">
        <w:trPr>
          <w:trHeight w:val="1020"/>
        </w:trPr>
        <w:tc>
          <w:tcPr>
            <w:tcW w:w="535" w:type="pct"/>
            <w:vAlign w:val="center"/>
          </w:tcPr>
          <w:p w:rsidR="0047209D" w:rsidRPr="001B77E8" w:rsidRDefault="0047209D" w:rsidP="00E20F87">
            <w:pPr>
              <w:ind w:firstLine="0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Pokuty ve správním řízení organizace (počet)</w:t>
            </w:r>
          </w:p>
        </w:tc>
        <w:tc>
          <w:tcPr>
            <w:tcW w:w="436" w:type="pct"/>
            <w:vAlign w:val="center"/>
          </w:tcPr>
          <w:p w:rsidR="0047209D" w:rsidRPr="001B77E8" w:rsidRDefault="00647EE1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4</w:t>
            </w:r>
          </w:p>
        </w:tc>
        <w:tc>
          <w:tcPr>
            <w:tcW w:w="465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</w:t>
            </w:r>
          </w:p>
        </w:tc>
        <w:tc>
          <w:tcPr>
            <w:tcW w:w="283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3</w:t>
            </w:r>
          </w:p>
        </w:tc>
        <w:tc>
          <w:tcPr>
            <w:tcW w:w="306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</w:t>
            </w:r>
          </w:p>
        </w:tc>
        <w:tc>
          <w:tcPr>
            <w:tcW w:w="374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</w:t>
            </w:r>
          </w:p>
        </w:tc>
        <w:tc>
          <w:tcPr>
            <w:tcW w:w="502" w:type="pct"/>
            <w:vAlign w:val="center"/>
          </w:tcPr>
          <w:p w:rsidR="0047209D" w:rsidRPr="001B77E8" w:rsidRDefault="00557980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11</w:t>
            </w:r>
          </w:p>
        </w:tc>
        <w:tc>
          <w:tcPr>
            <w:tcW w:w="544" w:type="pct"/>
            <w:vAlign w:val="center"/>
          </w:tcPr>
          <w:p w:rsidR="0047209D" w:rsidRPr="001B77E8" w:rsidRDefault="00103DDE" w:rsidP="00E20F87">
            <w:pPr>
              <w:ind w:firstLine="0"/>
              <w:jc w:val="center"/>
              <w:rPr>
                <w:sz w:val="18"/>
                <w:szCs w:val="18"/>
                <w:highlight w:val="green"/>
              </w:rPr>
            </w:pPr>
            <w:r w:rsidRPr="001B77E8">
              <w:rPr>
                <w:sz w:val="18"/>
                <w:szCs w:val="18"/>
              </w:rPr>
              <w:t>22</w:t>
            </w:r>
          </w:p>
        </w:tc>
      </w:tr>
      <w:tr w:rsidR="003463C9" w:rsidRPr="00E20F87" w:rsidTr="00DA0909">
        <w:trPr>
          <w:trHeight w:val="1020"/>
        </w:trPr>
        <w:tc>
          <w:tcPr>
            <w:tcW w:w="535" w:type="pct"/>
            <w:vAlign w:val="center"/>
          </w:tcPr>
          <w:p w:rsidR="0047209D" w:rsidRPr="001B77E8" w:rsidRDefault="0047209D" w:rsidP="00E20F87">
            <w:pPr>
              <w:ind w:firstLine="0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Pokuty ve správním řízení organizace (částka)</w:t>
            </w:r>
          </w:p>
        </w:tc>
        <w:tc>
          <w:tcPr>
            <w:tcW w:w="436" w:type="pct"/>
            <w:vAlign w:val="center"/>
          </w:tcPr>
          <w:p w:rsidR="0047209D" w:rsidRPr="001B77E8" w:rsidRDefault="00B970A9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1 </w:t>
            </w:r>
            <w:r w:rsidR="00557980" w:rsidRPr="001B77E8">
              <w:rPr>
                <w:sz w:val="18"/>
                <w:szCs w:val="18"/>
              </w:rPr>
              <w:t>314</w:t>
            </w:r>
            <w:r w:rsidRPr="001B77E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465" w:type="pct"/>
            <w:vAlign w:val="center"/>
          </w:tcPr>
          <w:p w:rsidR="0047209D" w:rsidRPr="001B77E8" w:rsidRDefault="00210150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1 152</w:t>
            </w:r>
            <w:r w:rsidR="00A2547E" w:rsidRPr="001B77E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283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vAlign w:val="center"/>
          </w:tcPr>
          <w:p w:rsidR="0047209D" w:rsidRPr="001B77E8" w:rsidRDefault="00210150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183</w:t>
            </w:r>
            <w:r w:rsidR="00A2547E" w:rsidRPr="001B77E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306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  <w:vAlign w:val="center"/>
          </w:tcPr>
          <w:p w:rsidR="0047209D" w:rsidRPr="001B77E8" w:rsidRDefault="00210150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7</w:t>
            </w:r>
            <w:r w:rsidR="00A2547E" w:rsidRPr="001B77E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374" w:type="pct"/>
            <w:vAlign w:val="center"/>
          </w:tcPr>
          <w:p w:rsidR="0047209D" w:rsidRPr="001B77E8" w:rsidRDefault="00A2547E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20</w:t>
            </w:r>
            <w:r w:rsidR="00ED388A" w:rsidRPr="001B77E8">
              <w:rPr>
                <w:sz w:val="18"/>
                <w:szCs w:val="18"/>
              </w:rPr>
              <w:t>0 000</w:t>
            </w:r>
          </w:p>
        </w:tc>
        <w:tc>
          <w:tcPr>
            <w:tcW w:w="502" w:type="pct"/>
            <w:vAlign w:val="center"/>
          </w:tcPr>
          <w:p w:rsidR="0047209D" w:rsidRPr="001B77E8" w:rsidRDefault="00557980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231 000</w:t>
            </w:r>
          </w:p>
        </w:tc>
        <w:tc>
          <w:tcPr>
            <w:tcW w:w="544" w:type="pct"/>
            <w:vAlign w:val="center"/>
          </w:tcPr>
          <w:p w:rsidR="0047209D" w:rsidRPr="001B77E8" w:rsidRDefault="00C163EA" w:rsidP="00E20F87">
            <w:pPr>
              <w:ind w:firstLine="0"/>
              <w:jc w:val="center"/>
              <w:rPr>
                <w:sz w:val="18"/>
                <w:szCs w:val="18"/>
                <w:highlight w:val="green"/>
              </w:rPr>
            </w:pPr>
            <w:r w:rsidRPr="001B77E8">
              <w:rPr>
                <w:sz w:val="18"/>
                <w:szCs w:val="18"/>
              </w:rPr>
              <w:t>3 087 000</w:t>
            </w:r>
          </w:p>
        </w:tc>
      </w:tr>
      <w:tr w:rsidR="003463C9" w:rsidRPr="00E20F87" w:rsidTr="00DA0909">
        <w:trPr>
          <w:trHeight w:val="1020"/>
        </w:trPr>
        <w:tc>
          <w:tcPr>
            <w:tcW w:w="535" w:type="pct"/>
            <w:vAlign w:val="center"/>
          </w:tcPr>
          <w:p w:rsidR="0047209D" w:rsidRPr="001B77E8" w:rsidRDefault="0047209D" w:rsidP="00E20F87">
            <w:pPr>
              <w:ind w:firstLine="0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Pokuty ve správním řízení pracovníci (počet)</w:t>
            </w:r>
          </w:p>
        </w:tc>
        <w:tc>
          <w:tcPr>
            <w:tcW w:w="436" w:type="pct"/>
            <w:vAlign w:val="center"/>
          </w:tcPr>
          <w:p w:rsidR="0047209D" w:rsidRPr="001B77E8" w:rsidRDefault="00DA7C48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65" w:type="pct"/>
            <w:vAlign w:val="center"/>
          </w:tcPr>
          <w:p w:rsidR="0047209D" w:rsidRPr="001B77E8" w:rsidRDefault="0025585F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06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502" w:type="pct"/>
            <w:vAlign w:val="center"/>
          </w:tcPr>
          <w:p w:rsidR="0047209D" w:rsidRPr="001B77E8" w:rsidRDefault="00DA7C48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5</w:t>
            </w:r>
          </w:p>
        </w:tc>
        <w:tc>
          <w:tcPr>
            <w:tcW w:w="544" w:type="pct"/>
            <w:vAlign w:val="center"/>
          </w:tcPr>
          <w:p w:rsidR="0047209D" w:rsidRPr="001B77E8" w:rsidRDefault="00DA7C48" w:rsidP="00E20F87">
            <w:pPr>
              <w:ind w:firstLine="0"/>
              <w:jc w:val="center"/>
              <w:rPr>
                <w:sz w:val="18"/>
                <w:szCs w:val="18"/>
                <w:highlight w:val="green"/>
              </w:rPr>
            </w:pPr>
            <w:r w:rsidRPr="001B77E8">
              <w:rPr>
                <w:sz w:val="18"/>
                <w:szCs w:val="18"/>
              </w:rPr>
              <w:t>5</w:t>
            </w:r>
          </w:p>
        </w:tc>
      </w:tr>
      <w:tr w:rsidR="003463C9" w:rsidRPr="00E20F87" w:rsidTr="00DA0909">
        <w:trPr>
          <w:trHeight w:val="1020"/>
        </w:trPr>
        <w:tc>
          <w:tcPr>
            <w:tcW w:w="535" w:type="pct"/>
            <w:vAlign w:val="center"/>
          </w:tcPr>
          <w:p w:rsidR="0047209D" w:rsidRPr="001B77E8" w:rsidRDefault="0047209D" w:rsidP="00E20F87">
            <w:pPr>
              <w:ind w:firstLine="0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Pokuty ve správním řízení pracovníci (částka)</w:t>
            </w:r>
          </w:p>
        </w:tc>
        <w:tc>
          <w:tcPr>
            <w:tcW w:w="436" w:type="pct"/>
            <w:vAlign w:val="center"/>
          </w:tcPr>
          <w:p w:rsidR="0047209D" w:rsidRPr="001B77E8" w:rsidRDefault="00DA7C48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65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06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47209D" w:rsidRPr="001B77E8" w:rsidRDefault="00ED388A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0</w:t>
            </w:r>
          </w:p>
        </w:tc>
        <w:tc>
          <w:tcPr>
            <w:tcW w:w="502" w:type="pct"/>
            <w:vAlign w:val="center"/>
          </w:tcPr>
          <w:p w:rsidR="0047209D" w:rsidRPr="001B77E8" w:rsidRDefault="00DA7C48" w:rsidP="00E20F87">
            <w:pPr>
              <w:ind w:firstLine="0"/>
              <w:jc w:val="center"/>
              <w:rPr>
                <w:sz w:val="18"/>
                <w:szCs w:val="18"/>
              </w:rPr>
            </w:pPr>
            <w:r w:rsidRPr="001B77E8">
              <w:rPr>
                <w:sz w:val="18"/>
                <w:szCs w:val="18"/>
              </w:rPr>
              <w:t>41</w:t>
            </w:r>
            <w:r w:rsidR="0058332B" w:rsidRPr="001B77E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544" w:type="pct"/>
            <w:vAlign w:val="center"/>
          </w:tcPr>
          <w:p w:rsidR="0047209D" w:rsidRPr="001B77E8" w:rsidRDefault="00DA7C48" w:rsidP="00E20F87">
            <w:pPr>
              <w:ind w:firstLine="0"/>
              <w:jc w:val="center"/>
              <w:rPr>
                <w:sz w:val="18"/>
                <w:szCs w:val="18"/>
                <w:highlight w:val="green"/>
              </w:rPr>
            </w:pPr>
            <w:r w:rsidRPr="001B77E8">
              <w:rPr>
                <w:sz w:val="18"/>
                <w:szCs w:val="18"/>
              </w:rPr>
              <w:t>41 000</w:t>
            </w:r>
          </w:p>
        </w:tc>
      </w:tr>
    </w:tbl>
    <w:p w:rsidR="00127F97" w:rsidRPr="002F3315" w:rsidRDefault="002F3315" w:rsidP="001B77E8">
      <w:pPr>
        <w:pStyle w:val="Nadpis2"/>
      </w:pPr>
      <w:bookmarkStart w:id="14" w:name="_Toc422823301"/>
      <w:r w:rsidRPr="002F3315">
        <w:lastRenderedPageBreak/>
        <w:t>Správní činnost</w:t>
      </w:r>
      <w:bookmarkEnd w:id="14"/>
    </w:p>
    <w:p w:rsidR="00BE2EB3" w:rsidRPr="00131041" w:rsidRDefault="00BE2EB3" w:rsidP="0028418A">
      <w:r w:rsidRPr="00131041">
        <w:t xml:space="preserve">V rámci výkonu správní agendy bylo v loňském roce vydáno: </w:t>
      </w:r>
    </w:p>
    <w:p w:rsidR="00BE2EB3" w:rsidRPr="00131041" w:rsidRDefault="000E52D0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180</w:t>
      </w:r>
      <w:r w:rsidR="00BE2EB3" w:rsidRPr="00131041">
        <w:t xml:space="preserve"> povolení k otvírce, přípravě a dobývání výhradních ložisek, </w:t>
      </w:r>
    </w:p>
    <w:p w:rsidR="00BE2EB3" w:rsidRPr="00131041" w:rsidRDefault="000E52D0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13</w:t>
      </w:r>
      <w:r w:rsidR="00BE2EB3" w:rsidRPr="00131041">
        <w:t xml:space="preserve"> povolení k těžbě ložisek nevyhrazených nerostů,</w:t>
      </w:r>
    </w:p>
    <w:p w:rsidR="00BE2EB3" w:rsidRPr="00131041" w:rsidRDefault="000E52D0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65</w:t>
      </w:r>
      <w:r w:rsidR="00BE2EB3" w:rsidRPr="00131041">
        <w:t xml:space="preserve"> povolení k likvidaci či zajištění hlavních důlních děl a lomů,</w:t>
      </w:r>
    </w:p>
    <w:p w:rsidR="00BE2EB3" w:rsidRPr="00131041" w:rsidRDefault="000E52D0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2</w:t>
      </w:r>
      <w:r w:rsidR="00BE2EB3" w:rsidRPr="00131041">
        <w:t xml:space="preserve"> povolení k vyhledávání a průzkumu ložisek,</w:t>
      </w:r>
    </w:p>
    <w:p w:rsidR="00BE2EB3" w:rsidRPr="00131041" w:rsidRDefault="000E52D0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7</w:t>
      </w:r>
      <w:r w:rsidR="00BE2EB3" w:rsidRPr="00131041">
        <w:t xml:space="preserve"> povolení ke zvláštním zásahům do zemské kůry,</w:t>
      </w:r>
    </w:p>
    <w:p w:rsidR="00BE2EB3" w:rsidRPr="00131041" w:rsidRDefault="00131041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68</w:t>
      </w:r>
      <w:r w:rsidR="00BE2EB3" w:rsidRPr="00131041">
        <w:t xml:space="preserve"> povolení trhacích prací malého rozsahu,</w:t>
      </w:r>
    </w:p>
    <w:p w:rsidR="00BE2EB3" w:rsidRPr="00131041" w:rsidRDefault="00131041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29</w:t>
      </w:r>
      <w:r w:rsidR="00BE2EB3" w:rsidRPr="00131041">
        <w:t xml:space="preserve"> povolení trhacích prací velkého rozsahu,</w:t>
      </w:r>
    </w:p>
    <w:p w:rsidR="00BE2EB3" w:rsidRPr="00131041" w:rsidRDefault="00131041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8</w:t>
      </w:r>
      <w:r w:rsidR="00BE2EB3" w:rsidRPr="00131041">
        <w:t xml:space="preserve"> povolení pro ohňostroje,</w:t>
      </w:r>
    </w:p>
    <w:p w:rsidR="00BE2EB3" w:rsidRPr="00131041" w:rsidRDefault="00131041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21</w:t>
      </w:r>
      <w:r w:rsidR="00BE2EB3" w:rsidRPr="00131041">
        <w:t xml:space="preserve"> povolení souvisejících s umístěním, stavbou, užíváním nebo zrušením skladu výbušnin,</w:t>
      </w:r>
    </w:p>
    <w:p w:rsidR="00BE2EB3" w:rsidRPr="00131041" w:rsidRDefault="00131041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59</w:t>
      </w:r>
      <w:r w:rsidR="00BE2EB3" w:rsidRPr="00131041">
        <w:t xml:space="preserve"> rozhodnutí o stanovení</w:t>
      </w:r>
      <w:r w:rsidR="00CC7643" w:rsidRPr="00131041">
        <w:t>, změny nebo zrušení</w:t>
      </w:r>
      <w:r w:rsidR="00BE2EB3" w:rsidRPr="00131041">
        <w:t xml:space="preserve"> dobývacích prostorů, </w:t>
      </w:r>
    </w:p>
    <w:p w:rsidR="00831A78" w:rsidRDefault="00131041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31041">
        <w:t>51</w:t>
      </w:r>
      <w:r w:rsidR="00BE2EB3" w:rsidRPr="00131041">
        <w:t xml:space="preserve"> povolení k čerpání rezerv finančních prostředků na sanace a rekultivace</w:t>
      </w:r>
      <w:r w:rsidR="00831A78">
        <w:t>,</w:t>
      </w:r>
    </w:p>
    <w:p w:rsidR="00BE2EB3" w:rsidRDefault="00831A78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>
        <w:t xml:space="preserve">8 </w:t>
      </w:r>
      <w:r w:rsidR="00616940">
        <w:t>povolení v rámci stavebního řízení,</w:t>
      </w:r>
    </w:p>
    <w:p w:rsidR="00616940" w:rsidRPr="00131041" w:rsidRDefault="00616940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>
        <w:t xml:space="preserve">17 vydaných souhlasů v rámci stavebního řízení. </w:t>
      </w:r>
    </w:p>
    <w:p w:rsidR="00E36C30" w:rsidRPr="00131041" w:rsidRDefault="009F1459" w:rsidP="0028418A">
      <w:r>
        <w:t>Za</w:t>
      </w:r>
      <w:r w:rsidR="007B6DD1">
        <w:t xml:space="preserve"> </w:t>
      </w:r>
      <w:r w:rsidR="00E36C30" w:rsidRPr="00131041">
        <w:t>priorit</w:t>
      </w:r>
      <w:r>
        <w:t>u</w:t>
      </w:r>
      <w:r w:rsidR="00E36C30" w:rsidRPr="00131041">
        <w:t xml:space="preserve"> považují orgány SBS i nadále oblast nakládání s výbušninami a výbušnými předměty, včetně vydávání povolení k předávání, nabývání, dovozu, vývozu a tranzitu výbušnin v civilním sektoru. V této souvislosti </w:t>
      </w:r>
      <w:r w:rsidR="00831A78">
        <w:t>orgány SBS</w:t>
      </w:r>
      <w:r w:rsidR="00E36C30" w:rsidRPr="00131041">
        <w:t xml:space="preserve"> v roce 201</w:t>
      </w:r>
      <w:r w:rsidR="00733029" w:rsidRPr="00131041">
        <w:t>4</w:t>
      </w:r>
      <w:r w:rsidR="00E36C30" w:rsidRPr="00131041">
        <w:t xml:space="preserve"> vydaly </w:t>
      </w:r>
      <w:r w:rsidR="00131041" w:rsidRPr="00131041">
        <w:t>178</w:t>
      </w:r>
      <w:r w:rsidR="00E36C30" w:rsidRPr="00131041">
        <w:t xml:space="preserve"> povolení k nabývání výbušnin a vydaly </w:t>
      </w:r>
      <w:r w:rsidR="00131041" w:rsidRPr="00131041">
        <w:t>50</w:t>
      </w:r>
      <w:r w:rsidR="00E36C30" w:rsidRPr="00131041">
        <w:t xml:space="preserve"> povolení k předávání výbušnin, </w:t>
      </w:r>
      <w:r w:rsidR="00131041" w:rsidRPr="00131041">
        <w:t>43</w:t>
      </w:r>
      <w:r w:rsidR="00E36C30" w:rsidRPr="00131041">
        <w:t xml:space="preserve"> povolení k vývozu výbušnin do ciziny, </w:t>
      </w:r>
      <w:r w:rsidR="00131041" w:rsidRPr="00131041">
        <w:t>27</w:t>
      </w:r>
      <w:r w:rsidR="00E36C30" w:rsidRPr="00131041">
        <w:t xml:space="preserve"> povolení k dovozu z ciziny a </w:t>
      </w:r>
      <w:r w:rsidR="00131041" w:rsidRPr="00131041">
        <w:t>14</w:t>
      </w:r>
      <w:r w:rsidR="00E36C30" w:rsidRPr="00131041">
        <w:t xml:space="preserve"> povolení pro tranzit výbušnin přes území ČR. </w:t>
      </w:r>
    </w:p>
    <w:p w:rsidR="0038020A" w:rsidRPr="001B345C" w:rsidRDefault="00BE2EB3" w:rsidP="0028418A">
      <w:r w:rsidRPr="00131041">
        <w:t>V roce 201</w:t>
      </w:r>
      <w:r w:rsidR="00733029" w:rsidRPr="00131041">
        <w:t>4</w:t>
      </w:r>
      <w:r w:rsidRPr="00131041">
        <w:t xml:space="preserve"> bylo orgán</w:t>
      </w:r>
      <w:r w:rsidR="00197253">
        <w:t xml:space="preserve">y </w:t>
      </w:r>
      <w:r w:rsidR="00831A78">
        <w:t>SBS</w:t>
      </w:r>
      <w:r w:rsidR="00197253">
        <w:t xml:space="preserve"> vydáno </w:t>
      </w:r>
      <w:r w:rsidR="00131041" w:rsidRPr="00131041">
        <w:t>3 606</w:t>
      </w:r>
      <w:r w:rsidRPr="00131041">
        <w:t xml:space="preserve"> stanovisek podle ustanovení § 19 horního zákona – umísťování staveb a zařízení v chráněném ložiskovém území</w:t>
      </w:r>
      <w:r w:rsidR="00831A78">
        <w:t xml:space="preserve"> a </w:t>
      </w:r>
      <w:r w:rsidR="00131041" w:rsidRPr="00131041">
        <w:t>3</w:t>
      </w:r>
      <w:r w:rsidR="00F8535F">
        <w:t xml:space="preserve"> </w:t>
      </w:r>
      <w:r w:rsidR="00131041" w:rsidRPr="00131041">
        <w:t>255</w:t>
      </w:r>
      <w:r w:rsidRPr="00131041">
        <w:t xml:space="preserve"> stanovisek k územně plánovací dokumentaci.</w:t>
      </w:r>
    </w:p>
    <w:p w:rsidR="00BE2EB3" w:rsidRPr="001B345C" w:rsidRDefault="00BE2EB3" w:rsidP="0028418A">
      <w:r w:rsidRPr="001B345C">
        <w:t xml:space="preserve">V průběhu roku </w:t>
      </w:r>
      <w:r w:rsidR="00831A78">
        <w:t xml:space="preserve">bylo v rámci správní činnosti </w:t>
      </w:r>
      <w:r w:rsidRPr="001B345C">
        <w:t>evidov</w:t>
      </w:r>
      <w:r w:rsidR="00831A78">
        <w:t xml:space="preserve">áno a řešeno </w:t>
      </w:r>
      <w:r w:rsidRPr="00417C84">
        <w:t>celkem 1</w:t>
      </w:r>
      <w:r w:rsidR="00417C84" w:rsidRPr="00417C84">
        <w:t xml:space="preserve"> 97</w:t>
      </w:r>
      <w:r w:rsidR="00CC7643" w:rsidRPr="00417C84">
        <w:t>3</w:t>
      </w:r>
      <w:r w:rsidRPr="001B345C">
        <w:t xml:space="preserve"> ohlášení </w:t>
      </w:r>
      <w:r w:rsidR="00831A78">
        <w:br/>
      </w:r>
      <w:r w:rsidRPr="001B345C">
        <w:t>o provádění</w:t>
      </w:r>
      <w:r w:rsidR="009535A8" w:rsidRPr="001B345C">
        <w:t xml:space="preserve">, </w:t>
      </w:r>
      <w:r w:rsidRPr="001B345C">
        <w:t>přerušení</w:t>
      </w:r>
      <w:r w:rsidR="009535A8" w:rsidRPr="001B345C">
        <w:t xml:space="preserve"> a ukončení</w:t>
      </w:r>
      <w:r w:rsidRPr="001B345C">
        <w:t xml:space="preserve"> hornické činnosti nebo činnosti prováděné hornickým způsobem.</w:t>
      </w:r>
    </w:p>
    <w:p w:rsidR="0021573D" w:rsidRPr="001B345C" w:rsidRDefault="00831A78" w:rsidP="0028418A">
      <w:r>
        <w:t xml:space="preserve">Orgány SBS </w:t>
      </w:r>
      <w:r w:rsidR="00BE2EB3" w:rsidRPr="001B345C">
        <w:t>v rámci své činnosti mj. vydal</w:t>
      </w:r>
      <w:r w:rsidR="004C771F">
        <w:t>y</w:t>
      </w:r>
      <w:r w:rsidR="00BE2EB3" w:rsidRPr="001B345C">
        <w:t xml:space="preserve"> </w:t>
      </w:r>
      <w:r w:rsidR="00BE2EB3" w:rsidRPr="00417C84">
        <w:t>1</w:t>
      </w:r>
      <w:r w:rsidR="000308AC" w:rsidRPr="00417C84">
        <w:t>3</w:t>
      </w:r>
      <w:r w:rsidR="00BE2EB3" w:rsidRPr="001B345C">
        <w:t xml:space="preserve"> výjimek z bezpečnostních předpisů a v rámci připomínkových řízení posoudil</w:t>
      </w:r>
      <w:r w:rsidR="004C771F">
        <w:t>y</w:t>
      </w:r>
      <w:r w:rsidR="00BE2EB3" w:rsidRPr="001B345C">
        <w:t xml:space="preserve"> </w:t>
      </w:r>
      <w:r w:rsidR="00A735CD">
        <w:t>209</w:t>
      </w:r>
      <w:r w:rsidR="00BE2EB3" w:rsidRPr="001B345C">
        <w:t xml:space="preserve"> návrhů zákonů, vyhlášek a ostatních právních předpisů </w:t>
      </w:r>
      <w:r w:rsidR="0021573D" w:rsidRPr="001B345C">
        <w:t xml:space="preserve">týkajících se meziresortních připomínkových řízení a </w:t>
      </w:r>
      <w:r w:rsidR="00A735CD">
        <w:t>62</w:t>
      </w:r>
      <w:r w:rsidR="0021573D" w:rsidRPr="001B345C">
        <w:t xml:space="preserve"> spisů týkajících se odvolacích řízení.</w:t>
      </w:r>
    </w:p>
    <w:p w:rsidR="008175A7" w:rsidRDefault="00BE2EB3" w:rsidP="0028418A">
      <w:r w:rsidRPr="00DC6778">
        <w:t>Na základě zákona č. 61/1988 Sb. orgány SBS v </w:t>
      </w:r>
      <w:r w:rsidRPr="00E62923">
        <w:t>roce 201</w:t>
      </w:r>
      <w:r w:rsidR="00733029" w:rsidRPr="00E62923">
        <w:t>4</w:t>
      </w:r>
      <w:r w:rsidRPr="00E62923">
        <w:t xml:space="preserve"> posuzovaly předpoklady</w:t>
      </w:r>
      <w:r w:rsidR="004B2139" w:rsidRPr="00E62923">
        <w:t xml:space="preserve"> </w:t>
      </w:r>
      <w:r w:rsidRPr="00E62923">
        <w:t>organizací k získání oprávnění k hornické činnosti, činnosti prováděné hornickým způsobem a projektování objektů a zařízení, které jsou součástí těchto činností. Jen za rok 201</w:t>
      </w:r>
      <w:r w:rsidR="00733029" w:rsidRPr="00E62923">
        <w:t>4</w:t>
      </w:r>
      <w:r w:rsidRPr="00E62923">
        <w:t xml:space="preserve"> bylo vydáno</w:t>
      </w:r>
      <w:r w:rsidR="004B2139" w:rsidRPr="00E62923">
        <w:t xml:space="preserve"> </w:t>
      </w:r>
      <w:r w:rsidR="00A735CD" w:rsidRPr="00E62923">
        <w:t>284</w:t>
      </w:r>
      <w:r w:rsidRPr="00E62923">
        <w:t xml:space="preserve"> takovýchto oprávnění. V tomto počtu jsou zahrnuta i oprávnění, která organizace nově získaly po ukončení platnosti předchozího. Celkem orgány státní báňské správy</w:t>
      </w:r>
      <w:r w:rsidR="004B2139" w:rsidRPr="00E62923">
        <w:t xml:space="preserve"> </w:t>
      </w:r>
      <w:r w:rsidR="00733029" w:rsidRPr="00E62923">
        <w:t>k 31.</w:t>
      </w:r>
      <w:r w:rsidR="005C7397">
        <w:t xml:space="preserve"> </w:t>
      </w:r>
      <w:r w:rsidR="00733029" w:rsidRPr="00E62923">
        <w:t>12.</w:t>
      </w:r>
      <w:r w:rsidR="005C7397">
        <w:t xml:space="preserve"> </w:t>
      </w:r>
      <w:r w:rsidRPr="00E62923">
        <w:t>201</w:t>
      </w:r>
      <w:r w:rsidR="00733029" w:rsidRPr="00E62923">
        <w:t>4</w:t>
      </w:r>
      <w:r w:rsidRPr="00E62923">
        <w:t xml:space="preserve"> dozorovaly </w:t>
      </w:r>
      <w:r w:rsidR="00E62923" w:rsidRPr="00E62923">
        <w:t>2</w:t>
      </w:r>
      <w:r w:rsidR="00F8535F">
        <w:t xml:space="preserve"> </w:t>
      </w:r>
      <w:r w:rsidR="00E62923" w:rsidRPr="00E62923">
        <w:t>397</w:t>
      </w:r>
      <w:r w:rsidRPr="00E62923">
        <w:t xml:space="preserve"> organizací, z toho:</w:t>
      </w:r>
    </w:p>
    <w:p w:rsidR="00A735CD" w:rsidRPr="00285A4F" w:rsidRDefault="00A735CD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285A4F">
        <w:t>549</w:t>
      </w:r>
      <w:r w:rsidR="00BC28D2">
        <w:t xml:space="preserve"> </w:t>
      </w:r>
      <w:r w:rsidRPr="00285A4F">
        <w:t>or</w:t>
      </w:r>
      <w:r w:rsidR="00197253">
        <w:t>ganizací</w:t>
      </w:r>
      <w:r w:rsidRPr="00285A4F">
        <w:t xml:space="preserve"> s oprávněním k těžbě,</w:t>
      </w:r>
    </w:p>
    <w:p w:rsidR="00A735CD" w:rsidRPr="00285A4F" w:rsidRDefault="00A735CD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285A4F">
        <w:lastRenderedPageBreak/>
        <w:t>174</w:t>
      </w:r>
      <w:r w:rsidR="00BC28D2">
        <w:t xml:space="preserve"> </w:t>
      </w:r>
      <w:r w:rsidR="00197253">
        <w:t>organizací</w:t>
      </w:r>
      <w:r w:rsidRPr="00285A4F">
        <w:t xml:space="preserve"> specializující se na podzemní práce spočívající v hloubení jam a studní, na</w:t>
      </w:r>
      <w:r w:rsidR="00BC28D2">
        <w:t xml:space="preserve"> </w:t>
      </w:r>
      <w:r w:rsidRPr="00285A4F">
        <w:t>ražení škol a tunelů a na vytváření podzemních prostor o objemu větším než 300 m</w:t>
      </w:r>
      <w:r w:rsidRPr="00827AE9">
        <w:rPr>
          <w:vertAlign w:val="superscript"/>
        </w:rPr>
        <w:t>3</w:t>
      </w:r>
      <w:r w:rsidR="0028418A" w:rsidRPr="001B77E8">
        <w:t xml:space="preserve"> </w:t>
      </w:r>
      <w:r w:rsidRPr="00285A4F">
        <w:t>horniny,</w:t>
      </w:r>
    </w:p>
    <w:p w:rsidR="00A735CD" w:rsidRPr="00285A4F" w:rsidRDefault="0019725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>
        <w:t>112 organizací</w:t>
      </w:r>
      <w:r w:rsidR="00A735CD" w:rsidRPr="00285A4F">
        <w:t>, které se specializují na vyhledávání a průzkum ložisek,</w:t>
      </w:r>
    </w:p>
    <w:p w:rsidR="00A735CD" w:rsidRPr="00285A4F" w:rsidRDefault="00A735CD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285A4F">
        <w:t>41</w:t>
      </w:r>
      <w:r w:rsidR="00BC28D2">
        <w:t xml:space="preserve"> </w:t>
      </w:r>
      <w:r w:rsidR="00197253">
        <w:t>organizací</w:t>
      </w:r>
      <w:r w:rsidRPr="00285A4F">
        <w:t xml:space="preserve"> s oprávněním na výkon trhacích prací</w:t>
      </w:r>
    </w:p>
    <w:p w:rsidR="00A735CD" w:rsidRPr="00285A4F" w:rsidRDefault="0019725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>
        <w:t>15 organizací</w:t>
      </w:r>
      <w:r w:rsidR="00F8535F">
        <w:t xml:space="preserve"> vyrábějící</w:t>
      </w:r>
      <w:r w:rsidR="00A735CD" w:rsidRPr="00285A4F">
        <w:t xml:space="preserve"> </w:t>
      </w:r>
      <w:r w:rsidR="00F8535F">
        <w:t xml:space="preserve">nebo zpracovávající </w:t>
      </w:r>
      <w:r w:rsidR="00A735CD" w:rsidRPr="00285A4F">
        <w:t>výbušniny,</w:t>
      </w:r>
    </w:p>
    <w:p w:rsidR="00A735CD" w:rsidRPr="00285A4F" w:rsidRDefault="0019725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>
        <w:t>1</w:t>
      </w:r>
      <w:r w:rsidR="00F8535F">
        <w:t xml:space="preserve"> </w:t>
      </w:r>
      <w:r>
        <w:t>373 organizací</w:t>
      </w:r>
      <w:r w:rsidR="00A735CD" w:rsidRPr="00285A4F">
        <w:t>, které vykonávají některou z dalších činností uvedených v § 2 nebo § 3 zákona</w:t>
      </w:r>
      <w:r w:rsidR="0028418A">
        <w:t xml:space="preserve"> </w:t>
      </w:r>
      <w:r w:rsidR="00A735CD" w:rsidRPr="00285A4F">
        <w:t>č. 61/1988 Sb. v platném znění,</w:t>
      </w:r>
    </w:p>
    <w:p w:rsidR="00A735CD" w:rsidRPr="00A735CD" w:rsidRDefault="00A735CD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A735CD">
        <w:t>133</w:t>
      </w:r>
      <w:r w:rsidR="00BC28D2">
        <w:t xml:space="preserve"> </w:t>
      </w:r>
      <w:r w:rsidR="00197253">
        <w:t>právnické nebo fyzické osoby</w:t>
      </w:r>
      <w:r w:rsidRPr="00A735CD">
        <w:t xml:space="preserve"> u podzemních objektů.</w:t>
      </w:r>
    </w:p>
    <w:p w:rsidR="00B5137E" w:rsidRDefault="00BE2EB3" w:rsidP="0028418A">
      <w:r w:rsidRPr="00DC6778">
        <w:t xml:space="preserve">Do celkového počtu jsou zahrnuty i organizace vlastnící oprávnění, které však v roce </w:t>
      </w:r>
      <w:r w:rsidRPr="00E62923">
        <w:t>201</w:t>
      </w:r>
      <w:r w:rsidR="00733029" w:rsidRPr="00E62923">
        <w:t>4</w:t>
      </w:r>
      <w:r w:rsidR="001B77E8">
        <w:t xml:space="preserve"> dočasně nevyužívaly.</w:t>
      </w:r>
    </w:p>
    <w:p w:rsidR="0038020A" w:rsidRDefault="00B5137E" w:rsidP="0028418A">
      <w:r w:rsidRPr="00A62A23">
        <w:t>Orgány státní báňské správy jsou od 1.</w:t>
      </w:r>
      <w:r w:rsidR="005C7397">
        <w:t xml:space="preserve"> </w:t>
      </w:r>
      <w:r w:rsidRPr="00A62A23">
        <w:t>1.</w:t>
      </w:r>
      <w:r w:rsidR="005C7397">
        <w:t xml:space="preserve"> </w:t>
      </w:r>
      <w:r w:rsidRPr="00A62A23">
        <w:t>2</w:t>
      </w:r>
      <w:r w:rsidR="00FF282E">
        <w:t>013 ve smyslu § 16 odst. 3 stavebního zákona</w:t>
      </w:r>
      <w:r w:rsidR="004C771F">
        <w:t xml:space="preserve"> též „jiné stavební úřady“.</w:t>
      </w:r>
    </w:p>
    <w:p w:rsidR="00BE2EB3" w:rsidRDefault="00BE2EB3" w:rsidP="0028418A">
      <w:r w:rsidRPr="00DC6778">
        <w:t xml:space="preserve">V </w:t>
      </w:r>
      <w:r w:rsidRPr="001A74A3">
        <w:t>roce 201</w:t>
      </w:r>
      <w:r w:rsidR="00733029" w:rsidRPr="001A74A3">
        <w:t>4</w:t>
      </w:r>
      <w:r w:rsidRPr="00DC6778">
        <w:t xml:space="preserve"> orgány SBS rovněž ověřovaly odbornou způsobilost fyzických osob podle zákona </w:t>
      </w:r>
      <w:r w:rsidR="004C771F">
        <w:br/>
      </w:r>
      <w:r w:rsidRPr="00DC6778">
        <w:t>č. 61/1988 Sb. Na základě úspěšně provedených zkoušek (ověřovacích a periodických) vydaly orgány SBS fyzickým osobám následující počet průkazů, oprávnění, osvědčení nebo uznání odborné kvalifikace:</w:t>
      </w:r>
    </w:p>
    <w:p w:rsidR="00BE2EB3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37</w:t>
      </w:r>
      <w:r w:rsidR="00567918" w:rsidRPr="001A74A3">
        <w:t xml:space="preserve"> střelmistrovských</w:t>
      </w:r>
      <w:r w:rsidR="00BE2EB3" w:rsidRPr="001A74A3">
        <w:t xml:space="preserve"> průkazů,</w:t>
      </w:r>
    </w:p>
    <w:p w:rsidR="009535A8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6</w:t>
      </w:r>
      <w:r w:rsidR="00567918" w:rsidRPr="001A74A3">
        <w:t xml:space="preserve"> osvědčení</w:t>
      </w:r>
      <w:r w:rsidR="009535A8" w:rsidRPr="001A74A3">
        <w:t xml:space="preserve"> pro technické vedoucí odstřelu,</w:t>
      </w:r>
    </w:p>
    <w:p w:rsidR="00BE2EB3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43</w:t>
      </w:r>
      <w:r w:rsidR="00567918" w:rsidRPr="001A74A3">
        <w:t xml:space="preserve"> oprávnění</w:t>
      </w:r>
      <w:r w:rsidR="00BE2EB3" w:rsidRPr="001A74A3">
        <w:t xml:space="preserve"> k výkonu funkce odpalovače ohňostrojů,</w:t>
      </w:r>
    </w:p>
    <w:p w:rsidR="00BE2EB3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7</w:t>
      </w:r>
      <w:r w:rsidR="00567918" w:rsidRPr="001A74A3">
        <w:t xml:space="preserve"> oprávnění</w:t>
      </w:r>
      <w:r w:rsidR="00BE2EB3" w:rsidRPr="001A74A3">
        <w:t xml:space="preserve"> k výkonu funkce pyrotechnika,</w:t>
      </w:r>
    </w:p>
    <w:p w:rsidR="00BE2EB3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15</w:t>
      </w:r>
      <w:r w:rsidR="00567918" w:rsidRPr="001A74A3">
        <w:t xml:space="preserve"> osvědčení</w:t>
      </w:r>
      <w:r w:rsidR="00BE2EB3" w:rsidRPr="001A74A3">
        <w:t xml:space="preserve"> pro závodního lomu s těžbou do 500 tis. tun,</w:t>
      </w:r>
    </w:p>
    <w:p w:rsidR="00BE2EB3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6</w:t>
      </w:r>
      <w:r w:rsidR="00567918" w:rsidRPr="001A74A3">
        <w:t xml:space="preserve"> osvědčení</w:t>
      </w:r>
      <w:r w:rsidR="00BE2EB3" w:rsidRPr="001A74A3">
        <w:t xml:space="preserve"> pro závodního lomu s těžbou nad 500 tis. tun,</w:t>
      </w:r>
    </w:p>
    <w:p w:rsidR="00BE2EB3" w:rsidRPr="001A74A3" w:rsidRDefault="00567918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5 osvědčení</w:t>
      </w:r>
      <w:r w:rsidR="00BE2EB3" w:rsidRPr="001A74A3">
        <w:t xml:space="preserve"> pro závodního dolu,</w:t>
      </w:r>
    </w:p>
    <w:p w:rsidR="00567918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3</w:t>
      </w:r>
      <w:r w:rsidR="00567918" w:rsidRPr="001A74A3">
        <w:t xml:space="preserve"> osvědčení</w:t>
      </w:r>
      <w:r w:rsidR="00BE2EB3" w:rsidRPr="001A74A3">
        <w:t xml:space="preserve"> pro hlavní důlní měřiče,</w:t>
      </w:r>
    </w:p>
    <w:p w:rsidR="00BE2EB3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90</w:t>
      </w:r>
      <w:r w:rsidR="00BE2EB3" w:rsidRPr="001A74A3">
        <w:t xml:space="preserve"> osvědčení s jinou báňskou specializací (bezpečnostní technik, projektant, technický dozor pro</w:t>
      </w:r>
      <w:r w:rsidR="00D655F1">
        <w:t xml:space="preserve"> </w:t>
      </w:r>
      <w:r w:rsidR="00BE2EB3" w:rsidRPr="001A74A3">
        <w:t>vedení důlních nebo podzemních děl),</w:t>
      </w:r>
    </w:p>
    <w:p w:rsidR="00BE2EB3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100</w:t>
      </w:r>
      <w:r w:rsidR="00567918" w:rsidRPr="001A74A3">
        <w:t xml:space="preserve"> osvědčení</w:t>
      </w:r>
      <w:r w:rsidR="00BE2EB3" w:rsidRPr="001A74A3">
        <w:t xml:space="preserve"> revizních techniků,</w:t>
      </w:r>
    </w:p>
    <w:p w:rsidR="00BE2EB3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327</w:t>
      </w:r>
      <w:r w:rsidR="00BE2EB3" w:rsidRPr="001A74A3">
        <w:t xml:space="preserve"> jiných osvědčení odborné</w:t>
      </w:r>
      <w:r w:rsidRPr="001A74A3">
        <w:t xml:space="preserve"> způsobilosti (např. vazač</w:t>
      </w:r>
      <w:r w:rsidR="00BE2EB3" w:rsidRPr="001A74A3">
        <w:t>, strojník těžního stroje apod.),</w:t>
      </w:r>
    </w:p>
    <w:p w:rsidR="00BE2EB3" w:rsidRPr="001A74A3" w:rsidRDefault="001A74A3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A74A3">
        <w:t>51</w:t>
      </w:r>
      <w:r w:rsidR="00BE2EB3" w:rsidRPr="001A74A3">
        <w:t xml:space="preserve"> uznání odborné kvalifikace dle zákona č. 18/2004 Sb., o uznávání odborné kvalifikace a jiné</w:t>
      </w:r>
      <w:r w:rsidR="0028418A">
        <w:t xml:space="preserve"> </w:t>
      </w:r>
      <w:r w:rsidR="00BE2EB3" w:rsidRPr="001A74A3">
        <w:t xml:space="preserve">způsobilosti státních příslušníků členských států Evropské unie a některých příslušníků </w:t>
      </w:r>
      <w:proofErr w:type="gramStart"/>
      <w:r w:rsidR="00BE2EB3" w:rsidRPr="001A74A3">
        <w:t xml:space="preserve">jiných </w:t>
      </w:r>
      <w:r w:rsidR="0028418A">
        <w:t xml:space="preserve"> </w:t>
      </w:r>
      <w:r w:rsidR="00BE2EB3" w:rsidRPr="001A74A3">
        <w:t>států</w:t>
      </w:r>
      <w:proofErr w:type="gramEnd"/>
      <w:r w:rsidR="00BE2EB3" w:rsidRPr="001A74A3">
        <w:t xml:space="preserve"> a o změně některých zákonů (zákon o uznávání odborné kvalifikace), ve znění</w:t>
      </w:r>
      <w:r w:rsidR="001B77E8">
        <w:t xml:space="preserve"> </w:t>
      </w:r>
      <w:r w:rsidR="0028418A">
        <w:t xml:space="preserve"> </w:t>
      </w:r>
      <w:r w:rsidR="00BE2EB3" w:rsidRPr="001A74A3">
        <w:t>pozdějších předpisů.</w:t>
      </w:r>
    </w:p>
    <w:p w:rsidR="004C771F" w:rsidRDefault="004C771F">
      <w:pPr>
        <w:suppressAutoHyphens w:val="0"/>
        <w:autoSpaceDE/>
        <w:autoSpaceDN/>
        <w:adjustRightInd/>
        <w:spacing w:before="0" w:after="0"/>
        <w:ind w:firstLine="0"/>
        <w:rPr>
          <w:b/>
          <w:caps/>
        </w:rPr>
      </w:pPr>
      <w:r>
        <w:br w:type="page"/>
      </w:r>
    </w:p>
    <w:p w:rsidR="007E35BE" w:rsidRPr="00DC6778" w:rsidRDefault="007E35BE" w:rsidP="001B77E8">
      <w:pPr>
        <w:pStyle w:val="Nadpis2"/>
      </w:pPr>
      <w:bookmarkStart w:id="15" w:name="_Toc422823302"/>
      <w:r w:rsidRPr="00DC6778">
        <w:lastRenderedPageBreak/>
        <w:t>Legislativní činnost</w:t>
      </w:r>
      <w:r w:rsidR="002A7056" w:rsidRPr="00DC6778">
        <w:t xml:space="preserve"> ČBÚ</w:t>
      </w:r>
      <w:bookmarkEnd w:id="15"/>
    </w:p>
    <w:p w:rsidR="00A6190D" w:rsidRPr="00E44B94" w:rsidRDefault="00A6190D" w:rsidP="0028418A">
      <w:r w:rsidRPr="00E44B94">
        <w:t>Legislativní činnost v oblasti horního práva spočívala v r. 2014 v přípravě nov</w:t>
      </w:r>
      <w:r w:rsidR="001E3D02">
        <w:t>ého</w:t>
      </w:r>
      <w:r w:rsidRPr="00E44B94">
        <w:t xml:space="preserve"> zákon</w:t>
      </w:r>
      <w:r w:rsidR="001E3D02">
        <w:t>a</w:t>
      </w:r>
      <w:r w:rsidRPr="00E44B94">
        <w:t xml:space="preserve"> </w:t>
      </w:r>
      <w:r w:rsidR="00F81B7A">
        <w:t xml:space="preserve">o prekurzorech výbušnin </w:t>
      </w:r>
      <w:r w:rsidRPr="00E44B94">
        <w:t>a</w:t>
      </w:r>
      <w:r w:rsidR="001E3D02">
        <w:t xml:space="preserve"> novel platných zákonů a</w:t>
      </w:r>
      <w:r w:rsidRPr="00E44B94">
        <w:t xml:space="preserve"> vyhlášek nacházejících se v gesci nejen Č</w:t>
      </w:r>
      <w:r w:rsidR="005C7397">
        <w:t>BÚ</w:t>
      </w:r>
      <w:r w:rsidRPr="00E44B94">
        <w:t xml:space="preserve">. </w:t>
      </w:r>
    </w:p>
    <w:p w:rsidR="00A6190D" w:rsidRDefault="00A6190D" w:rsidP="0028418A">
      <w:r>
        <w:t xml:space="preserve">Dne 19. listopadu </w:t>
      </w:r>
      <w:r w:rsidRPr="00483FC0">
        <w:t>2014 byl ve Sbírce zákonů v č</w:t>
      </w:r>
      <w:r>
        <w:t>ástce č. 107 vyhlášen zákon č. </w:t>
      </w:r>
      <w:r w:rsidRPr="00483FC0">
        <w:t xml:space="preserve">259/2014 Sb., o prekurzorech výbušnin a o změně zákona č. 634/2004 </w:t>
      </w:r>
      <w:r>
        <w:t>Sb., o správních poplatcích, ve </w:t>
      </w:r>
      <w:r w:rsidRPr="00483FC0">
        <w:t>znění pozdějších předpisů (zákon o prekurzorech výbušnin).</w:t>
      </w:r>
      <w:r w:rsidRPr="00483FC0">
        <w:rPr>
          <w:color w:val="1F497D"/>
        </w:rPr>
        <w:t xml:space="preserve"> </w:t>
      </w:r>
      <w:r w:rsidRPr="00483FC0">
        <w:t xml:space="preserve">Tento zákon </w:t>
      </w:r>
      <w:r>
        <w:t>byl připraven v gesci Českého báňského úřadu. V </w:t>
      </w:r>
      <w:r w:rsidRPr="00483FC0">
        <w:t xml:space="preserve">návaznosti na Nařízení Evropského parlamentu a </w:t>
      </w:r>
      <w:r>
        <w:t>Rady (EU) č. 98/2013 ze dne 15. </w:t>
      </w:r>
      <w:r w:rsidRPr="00483FC0">
        <w:t>ledna 2013 o uvádění prekurzorů výbušnin na tr</w:t>
      </w:r>
      <w:r>
        <w:t>h a o jejich používání, upravuje zmíněný zákon práva a </w:t>
      </w:r>
      <w:r w:rsidRPr="00483FC0">
        <w:t xml:space="preserve">povinnosti </w:t>
      </w:r>
      <w:r>
        <w:t xml:space="preserve">hospodářských subjektů, osob z řad široké veřejnosti a správních orgánů </w:t>
      </w:r>
      <w:r w:rsidRPr="00483FC0">
        <w:t>při zpřístupnění, dovozu, držení, používání, povolování, registraci a oznamování prekurzorů výbušnin.</w:t>
      </w:r>
      <w:r>
        <w:t xml:space="preserve"> Za prekurzory výbušnin se považují takové látky, které ještě nejsou výbušninou, ale výbušni</w:t>
      </w:r>
      <w:r w:rsidR="00951D5F">
        <w:t xml:space="preserve">nu by </w:t>
      </w:r>
      <w:r w:rsidR="00D2297E">
        <w:t xml:space="preserve">z nich </w:t>
      </w:r>
      <w:r w:rsidR="00951D5F">
        <w:t>bylo možno vyrobit.</w:t>
      </w:r>
      <w:r>
        <w:t xml:space="preserve"> </w:t>
      </w:r>
      <w:r w:rsidR="00951D5F">
        <w:t>J</w:t>
      </w:r>
      <w:r>
        <w:t xml:space="preserve">sou uvedeny v přílohách Nařízení </w:t>
      </w:r>
      <w:r w:rsidR="001E3D02">
        <w:t xml:space="preserve">EU </w:t>
      </w:r>
      <w:r>
        <w:t>č. 98/2013 a přístup osob z řad široké veřejnosti k nim má být z důvodu zajištění bezpečnosti regulován.</w:t>
      </w:r>
      <w:r w:rsidRPr="00810E39">
        <w:t xml:space="preserve"> </w:t>
      </w:r>
      <w:r>
        <w:t>Zákon stanoví nové</w:t>
      </w:r>
      <w:r w:rsidR="005B065B">
        <w:t>, v ČR dosud neaplikované,</w:t>
      </w:r>
      <w:r>
        <w:t xml:space="preserve"> kompetence Č</w:t>
      </w:r>
      <w:r w:rsidR="005C7397">
        <w:t>BÚ, OBÚ</w:t>
      </w:r>
      <w:r>
        <w:t>, České obchodní inspekci a Policii České republiky.</w:t>
      </w:r>
    </w:p>
    <w:p w:rsidR="00A6190D" w:rsidRPr="004C16E0" w:rsidRDefault="00A6190D" w:rsidP="0028418A">
      <w:r>
        <w:t>V gesci Č</w:t>
      </w:r>
      <w:r w:rsidR="005C7397">
        <w:t>BÚ</w:t>
      </w:r>
      <w:r>
        <w:t xml:space="preserve"> byla vydána </w:t>
      </w:r>
      <w:r w:rsidRPr="006A1235">
        <w:t xml:space="preserve">vyhláška č. 110/2014 Sb., kterou se mění vyhláška č. 165/2002 Sb., o separátním větrání při hornické činnosti v plynujících dolech, ve znění vyhlášky č. 56/2007 Sb. a vyhlášky č. 176/2011 Sb. </w:t>
      </w:r>
      <w:r>
        <w:t xml:space="preserve">Tato vyhláška dopadající hlavně na prostředí dolů nacházejících se v ostravsko-karvinském revíru reaguje na poměrně rychlý vývoj vědecko-technických poznatků v oblasti důlního větrání a jejím cílem je zvýšení bezpečnosti a ochrany zdraví při práci a bezpečnosti provozu. </w:t>
      </w:r>
      <w:r w:rsidR="001E3D02">
        <w:t>Tato vyhláška nabyla ú</w:t>
      </w:r>
      <w:r>
        <w:t>činnosti dnem 1. července 2014.</w:t>
      </w:r>
    </w:p>
    <w:p w:rsidR="00A6190D" w:rsidRDefault="00A6190D" w:rsidP="0028418A">
      <w:r>
        <w:t>Kromě vlastních legislativních aktivit Č</w:t>
      </w:r>
      <w:r w:rsidR="00A14C50">
        <w:t>BÚ</w:t>
      </w:r>
      <w:r>
        <w:t xml:space="preserve"> rovněž poskytoval součinnost jiným resortům při jejich legislativní činnosti, zejména pokud normotvorná aktivita těchto resortů dopadala i na právní předpisy z oboru horního práva. V roce 2014 byl zákon č. </w:t>
      </w:r>
      <w:r w:rsidRPr="00BB63CA">
        <w:t>61/1988 Sb.</w:t>
      </w:r>
      <w:r>
        <w:t>, o hornické činnosti, výbušninách a o státní báňské správě, novelizován zákonem č. </w:t>
      </w:r>
      <w:r w:rsidRPr="00BB63CA">
        <w:t xml:space="preserve">64/2014 Sb., </w:t>
      </w:r>
      <w:r>
        <w:t>kterým se mění některé zákony v souvislosti s </w:t>
      </w:r>
      <w:r w:rsidRPr="00BB63CA">
        <w:t xml:space="preserve">přijetím kontrolního řádu. </w:t>
      </w:r>
      <w:r>
        <w:t>Na přípravě tohoto novelizačního zákona se Č</w:t>
      </w:r>
      <w:r w:rsidR="00A14C50">
        <w:t>BÚ</w:t>
      </w:r>
      <w:r>
        <w:t xml:space="preserve"> podílel. </w:t>
      </w:r>
      <w:r w:rsidRPr="00BB63CA">
        <w:t xml:space="preserve">Jedná se o novelizaci, která nabyla účinnosti </w:t>
      </w:r>
      <w:r>
        <w:t>dnem 1. </w:t>
      </w:r>
      <w:r w:rsidRPr="00BB63CA">
        <w:t>května 2014</w:t>
      </w:r>
      <w:r>
        <w:t>;</w:t>
      </w:r>
      <w:r w:rsidRPr="00BB63CA">
        <w:t xml:space="preserve"> </w:t>
      </w:r>
      <w:r>
        <w:t xml:space="preserve">její podstatou bylo harmonizovat ustanovení zákona o hornické činnosti s ustanoveními kontrolního řádu (tj. zákona </w:t>
      </w:r>
      <w:r w:rsidR="001B0FA0">
        <w:br/>
      </w:r>
      <w:r>
        <w:t>č. 255/2012 Sb.). Kontrolní řád je obecným kodexem kontrolního procesu a odchylky od této úpravy uvedené ve speciálních právních předpisech nebyly z hlediska výkonu státní správy žádoucí. Z tohoto důvodu došlo k</w:t>
      </w:r>
      <w:r w:rsidR="001E3D02">
        <w:t>e</w:t>
      </w:r>
      <w:r>
        <w:t> </w:t>
      </w:r>
      <w:r w:rsidR="001E3D02">
        <w:t>koordinaci</w:t>
      </w:r>
      <w:r>
        <w:t xml:space="preserve"> textu zákona č. 61/1988 Sb. </w:t>
      </w:r>
      <w:r w:rsidR="00A14C50">
        <w:t xml:space="preserve">s </w:t>
      </w:r>
      <w:r>
        <w:t>kontrolním řád</w:t>
      </w:r>
      <w:r w:rsidR="00A14C50">
        <w:t>em</w:t>
      </w:r>
      <w:r>
        <w:t>.</w:t>
      </w:r>
      <w:r w:rsidR="0028418A">
        <w:t xml:space="preserve"> </w:t>
      </w:r>
    </w:p>
    <w:p w:rsidR="00A6190D" w:rsidRPr="00A84CA3" w:rsidRDefault="00A6190D" w:rsidP="0028418A">
      <w:r w:rsidRPr="00A84CA3">
        <w:t xml:space="preserve">Další novelizací zákona č. 61/1988 Sb., která </w:t>
      </w:r>
      <w:r w:rsidR="00885D5D">
        <w:t>ne</w:t>
      </w:r>
      <w:r w:rsidRPr="00A84CA3">
        <w:t xml:space="preserve">byla provedena </w:t>
      </w:r>
      <w:r w:rsidR="00885D5D">
        <w:t>v</w:t>
      </w:r>
      <w:r w:rsidRPr="00A84CA3">
        <w:t xml:space="preserve"> gesci Č</w:t>
      </w:r>
      <w:r w:rsidR="00A14C50">
        <w:t>BÚ</w:t>
      </w:r>
      <w:r w:rsidRPr="00A84CA3">
        <w:t>, ale k níž se Č</w:t>
      </w:r>
      <w:r w:rsidR="00A14C50">
        <w:t>BÚ</w:t>
      </w:r>
      <w:r w:rsidRPr="00A84CA3">
        <w:t xml:space="preserve"> měl možnost vyjádřit v rámci legislativního procesu, byla novelizace provedená zákonem č.</w:t>
      </w:r>
      <w:r>
        <w:t> </w:t>
      </w:r>
      <w:r w:rsidRPr="00A84CA3">
        <w:t>250/2014 Sb., o změně některých zákonů so</w:t>
      </w:r>
      <w:r>
        <w:t>uvisejících s přijetím zákona o </w:t>
      </w:r>
      <w:r w:rsidRPr="00A84CA3">
        <w:t xml:space="preserve">státní službě. </w:t>
      </w:r>
      <w:r>
        <w:t>T</w:t>
      </w:r>
      <w:r w:rsidRPr="00A84CA3">
        <w:t xml:space="preserve">ato novelizace se </w:t>
      </w:r>
      <w:r>
        <w:t xml:space="preserve">týká </w:t>
      </w:r>
      <w:r w:rsidRPr="00A84CA3">
        <w:t xml:space="preserve">mechanismu </w:t>
      </w:r>
      <w:r>
        <w:t>jmenování a </w:t>
      </w:r>
      <w:r w:rsidRPr="00A84CA3">
        <w:t>odvolávání předsedy Č</w:t>
      </w:r>
      <w:r w:rsidR="00A14C50">
        <w:t>BÚ</w:t>
      </w:r>
      <w:r w:rsidRPr="00A84CA3">
        <w:t xml:space="preserve"> a </w:t>
      </w:r>
      <w:r>
        <w:t xml:space="preserve">předsedů </w:t>
      </w:r>
      <w:r w:rsidR="00A14C50">
        <w:t>OBÚ</w:t>
      </w:r>
      <w:r>
        <w:t>. Tyto procesy </w:t>
      </w:r>
      <w:r w:rsidRPr="00A84CA3">
        <w:t xml:space="preserve">se </w:t>
      </w:r>
      <w:r w:rsidR="00885D5D">
        <w:t xml:space="preserve">nově </w:t>
      </w:r>
      <w:r w:rsidRPr="00A84CA3">
        <w:t>říd</w:t>
      </w:r>
      <w:r>
        <w:t>í zákonem o </w:t>
      </w:r>
      <w:r w:rsidRPr="00A84CA3">
        <w:t>státní službě</w:t>
      </w:r>
      <w:r>
        <w:t>.</w:t>
      </w:r>
      <w:r w:rsidRPr="00A84CA3">
        <w:t xml:space="preserve"> </w:t>
      </w:r>
      <w:r>
        <w:t>Ú</w:t>
      </w:r>
      <w:r w:rsidRPr="00A84CA3">
        <w:t>činnosti nab</w:t>
      </w:r>
      <w:r w:rsidR="00885D5D">
        <w:t>yla</w:t>
      </w:r>
      <w:r w:rsidRPr="00A84CA3">
        <w:t xml:space="preserve"> novela provedená zákonem č. </w:t>
      </w:r>
      <w:r>
        <w:t>250/2014 Sb. dnem 1. ledna 2015,</w:t>
      </w:r>
      <w:r w:rsidR="00885D5D">
        <w:t xml:space="preserve"> tj.</w:t>
      </w:r>
      <w:r>
        <w:t xml:space="preserve"> shodně se služebním zákonem</w:t>
      </w:r>
      <w:r w:rsidRPr="00A84CA3">
        <w:t>.</w:t>
      </w:r>
    </w:p>
    <w:p w:rsidR="00A6190D" w:rsidRDefault="00A6190D" w:rsidP="004C771F">
      <w:r w:rsidRPr="00384146">
        <w:t xml:space="preserve">V dohodě </w:t>
      </w:r>
      <w:r>
        <w:t xml:space="preserve">mezi </w:t>
      </w:r>
      <w:r w:rsidRPr="00384146">
        <w:t>Ministerstv</w:t>
      </w:r>
      <w:r>
        <w:t>em</w:t>
      </w:r>
      <w:r w:rsidRPr="00384146">
        <w:t xml:space="preserve"> průmyslu a obchodu </w:t>
      </w:r>
      <w:r>
        <w:t>a Č</w:t>
      </w:r>
      <w:r w:rsidR="00A14C50">
        <w:t>BÚ</w:t>
      </w:r>
      <w:r>
        <w:t xml:space="preserve"> </w:t>
      </w:r>
      <w:r w:rsidRPr="00384146">
        <w:t xml:space="preserve">byla vydána vyhláška č. 123/2014 Sb., o </w:t>
      </w:r>
      <w:r w:rsidRPr="00C00009">
        <w:t>bezpečnostních a technic</w:t>
      </w:r>
      <w:r>
        <w:t>kých požadavcích na zacházení s </w:t>
      </w:r>
      <w:r w:rsidRPr="00C00009">
        <w:t>pyrotechnickými výrobky</w:t>
      </w:r>
      <w:r>
        <w:t>.</w:t>
      </w:r>
      <w:r w:rsidR="00951D5F">
        <w:t xml:space="preserve"> </w:t>
      </w:r>
      <w:r w:rsidRPr="00C00009">
        <w:t xml:space="preserve">Vyhláška </w:t>
      </w:r>
      <w:r>
        <w:t>upravuje</w:t>
      </w:r>
      <w:bookmarkStart w:id="16" w:name="p1-1-a"/>
      <w:bookmarkEnd w:id="16"/>
      <w:r>
        <w:t xml:space="preserve"> bezpečnostní a technické požadavky na zacházení s pyrotechnickými výrobky, pokud jde </w:t>
      </w:r>
      <w:r w:rsidR="001B0FA0">
        <w:br/>
      </w:r>
      <w:r>
        <w:t>o jejich bezpečné skladování a používání, a to ve vazbě na jejich rozdělení do tříd a kategorií, a</w:t>
      </w:r>
      <w:bookmarkStart w:id="17" w:name="p1-1-b"/>
      <w:bookmarkEnd w:id="17"/>
      <w:r>
        <w:t xml:space="preserve"> vymezení </w:t>
      </w:r>
      <w:r w:rsidR="00885D5D">
        <w:t xml:space="preserve">provádění ohňostrojných prací a náležitostí, které se </w:t>
      </w:r>
      <w:r>
        <w:t xml:space="preserve">uvádějí v ohlášení o provádění ohňostroje. Vyhláška fakticky doplňuje již dříve vydané nařízení vlády č. 32/2014 Sb., o zacházení s pyrotechnickými výrobky. Účinnosti nabyla tato vyhláška dne 9. července 2014. </w:t>
      </w:r>
    </w:p>
    <w:p w:rsidR="00A6190D" w:rsidRDefault="00A6190D" w:rsidP="0028418A">
      <w:r>
        <w:lastRenderedPageBreak/>
        <w:t>Č</w:t>
      </w:r>
      <w:r w:rsidR="00A14C50">
        <w:t>BÚ</w:t>
      </w:r>
      <w:r>
        <w:t xml:space="preserve"> rovněž spolupracoval s Ministerstvem průmyslu a obchodu na připravované novele horního zákona, která má za cíl nově upravit institut úhrad z dobývacích prostorů a úhrad z nerostů vydobytých na výhradních ložiskách. Uvedený návrh, na jehož základě by mělo v budoucnu dojít ke zvýšení výnosu z úhrad podle horního zákona, byl před koncem roku 2014 předložen vládě k dalšímu legislativnímu procesu.</w:t>
      </w:r>
    </w:p>
    <w:p w:rsidR="00885D5D" w:rsidRDefault="00A6190D" w:rsidP="0028418A">
      <w:r w:rsidRPr="00A62A23">
        <w:t>Č</w:t>
      </w:r>
      <w:r w:rsidR="00A14C50">
        <w:t xml:space="preserve">BÚ </w:t>
      </w:r>
      <w:r>
        <w:t xml:space="preserve">také </w:t>
      </w:r>
      <w:r w:rsidRPr="00A62A23">
        <w:t>spolupracoval</w:t>
      </w:r>
      <w:r w:rsidR="00885D5D">
        <w:t xml:space="preserve"> </w:t>
      </w:r>
      <w:r w:rsidRPr="00A62A23">
        <w:t xml:space="preserve">s dalšími orgány státní správy v rámci různých </w:t>
      </w:r>
      <w:r>
        <w:t xml:space="preserve">meziresortních </w:t>
      </w:r>
      <w:r w:rsidRPr="00A62A23">
        <w:t>pracovních skupin na přípravě nových právních p</w:t>
      </w:r>
      <w:r>
        <w:t>ředpisů a koncepčních materiálů</w:t>
      </w:r>
      <w:r w:rsidR="00885D5D">
        <w:t xml:space="preserve">. </w:t>
      </w:r>
      <w:r w:rsidR="00A14C50" w:rsidRPr="00A14C50">
        <w:rPr>
          <w:color w:val="000000" w:themeColor="text1"/>
        </w:rPr>
        <w:t xml:space="preserve">Z nich je nutno zmínit alespoň analýzu platné právní úpravy v oblasti nakládání s municí </w:t>
      </w:r>
      <w:r w:rsidR="00677E0F">
        <w:rPr>
          <w:color w:val="000000" w:themeColor="text1"/>
        </w:rPr>
        <w:t xml:space="preserve">provedenou </w:t>
      </w:r>
      <w:r w:rsidR="00A14C50" w:rsidRPr="00A14C50">
        <w:rPr>
          <w:color w:val="000000" w:themeColor="text1"/>
        </w:rPr>
        <w:t xml:space="preserve">v souvislosti s událostmi ve </w:t>
      </w:r>
      <w:proofErr w:type="spellStart"/>
      <w:r w:rsidR="00A14C50" w:rsidRPr="00A14C50">
        <w:rPr>
          <w:color w:val="000000" w:themeColor="text1"/>
        </w:rPr>
        <w:t>Vrběticích</w:t>
      </w:r>
      <w:proofErr w:type="spellEnd"/>
      <w:r w:rsidR="00A14C50" w:rsidRPr="00A14C50">
        <w:rPr>
          <w:color w:val="000000" w:themeColor="text1"/>
        </w:rPr>
        <w:t xml:space="preserve"> pod vedením Ministerstva vnitra</w:t>
      </w:r>
      <w:r w:rsidR="00677E0F">
        <w:rPr>
          <w:color w:val="000000" w:themeColor="text1"/>
        </w:rPr>
        <w:t xml:space="preserve">. Dále </w:t>
      </w:r>
      <w:r w:rsidR="00A14C50" w:rsidRPr="00A14C50">
        <w:rPr>
          <w:color w:val="000000" w:themeColor="text1"/>
        </w:rPr>
        <w:t xml:space="preserve">přípravu nového zákona </w:t>
      </w:r>
      <w:r w:rsidR="00677E0F">
        <w:rPr>
          <w:color w:val="000000" w:themeColor="text1"/>
        </w:rPr>
        <w:br/>
      </w:r>
      <w:r w:rsidR="00A14C50" w:rsidRPr="00A14C50">
        <w:rPr>
          <w:color w:val="000000" w:themeColor="text1"/>
        </w:rPr>
        <w:t>o posuzování shody (který se bude týkat mj. i uvádění výbušnin na trh, dozor ČBÚ) v gesci Ministerstva průmyslu a obchodu.</w:t>
      </w:r>
      <w:r w:rsidR="00A14C50">
        <w:t xml:space="preserve"> </w:t>
      </w:r>
      <w:r w:rsidRPr="00A62A23">
        <w:t>Č</w:t>
      </w:r>
      <w:r w:rsidR="00A14C50">
        <w:t>BÚ</w:t>
      </w:r>
      <w:r w:rsidRPr="00A62A23">
        <w:t xml:space="preserve"> se </w:t>
      </w:r>
      <w:r>
        <w:t xml:space="preserve">jako ústřední správní úřad </w:t>
      </w:r>
      <w:r w:rsidRPr="00A62A23">
        <w:t>rovněž aktivně účastnil meziresortních připomínkových řízení k návrhům právních předpisů zpracovaných jinými resorty.</w:t>
      </w:r>
    </w:p>
    <w:p w:rsidR="001E3D02" w:rsidRDefault="001E3D02" w:rsidP="0028418A">
      <w:pPr>
        <w:rPr>
          <w:color w:val="000000"/>
        </w:rPr>
      </w:pPr>
      <w:r w:rsidRPr="00885D5D">
        <w:t>Další oblastí, která úzce souvisí s výkonem vrchního dozoru z hlediska tvorby a následné implementace práva Evropské unie</w:t>
      </w:r>
      <w:r w:rsidR="00885D5D">
        <w:t xml:space="preserve"> do právního řádu České republiky</w:t>
      </w:r>
      <w:r w:rsidRPr="00885D5D">
        <w:t xml:space="preserve">, je zastoupení za Českou republiku </w:t>
      </w:r>
      <w:r w:rsidR="00885D5D" w:rsidRPr="00885D5D">
        <w:t>v pracovních komisích Evropské rady a Evropské komise zaměřených na tvorbu návrhů právních předpisů</w:t>
      </w:r>
      <w:r w:rsidR="00885D5D" w:rsidRPr="00885D5D">
        <w:rPr>
          <w:color w:val="000000"/>
        </w:rPr>
        <w:t xml:space="preserve"> </w:t>
      </w:r>
      <w:r w:rsidRPr="00885D5D">
        <w:rPr>
          <w:color w:val="000000"/>
        </w:rPr>
        <w:t>v oblasti nakládání s výbušninami, prekurzorů výbušnin a těžebních odpadů.</w:t>
      </w:r>
    </w:p>
    <w:p w:rsidR="003047F3" w:rsidRPr="005911F8" w:rsidRDefault="003047F3" w:rsidP="001B77E8">
      <w:pPr>
        <w:pStyle w:val="Nadpis2"/>
      </w:pPr>
      <w:bookmarkStart w:id="18" w:name="_Toc422823303"/>
      <w:r w:rsidRPr="005911F8">
        <w:t>Výzkum a vývoj</w:t>
      </w:r>
      <w:bookmarkEnd w:id="18"/>
    </w:p>
    <w:p w:rsidR="00990D75" w:rsidRPr="00EC1A02" w:rsidRDefault="00990D75" w:rsidP="0028418A">
      <w:r w:rsidRPr="0079519A">
        <w:t xml:space="preserve">Na základě reformy </w:t>
      </w:r>
      <w:r w:rsidR="00677E0F">
        <w:t>vědy a výzkumu (dále jen „</w:t>
      </w:r>
      <w:proofErr w:type="spellStart"/>
      <w:r w:rsidRPr="0079519A">
        <w:t>VaV</w:t>
      </w:r>
      <w:proofErr w:type="spellEnd"/>
      <w:r w:rsidR="00677E0F">
        <w:t>“)</w:t>
      </w:r>
      <w:r w:rsidRPr="0079519A">
        <w:t xml:space="preserve"> schválené usnesením vlády ČR č. 287/2008 </w:t>
      </w:r>
      <w:r w:rsidR="00A14C50">
        <w:t xml:space="preserve">již </w:t>
      </w:r>
      <w:r w:rsidR="00885D5D">
        <w:t>není</w:t>
      </w:r>
      <w:r w:rsidRPr="0079519A">
        <w:t xml:space="preserve"> Č</w:t>
      </w:r>
      <w:r w:rsidR="00A14C50">
        <w:t>BÚ</w:t>
      </w:r>
      <w:r w:rsidRPr="0079519A">
        <w:t xml:space="preserve"> poskytov</w:t>
      </w:r>
      <w:r w:rsidR="00885D5D">
        <w:t>atelem</w:t>
      </w:r>
      <w:r w:rsidRPr="0079519A">
        <w:t xml:space="preserve"> dotací</w:t>
      </w:r>
      <w:r w:rsidR="00A14C50">
        <w:t>. P</w:t>
      </w:r>
      <w:r w:rsidRPr="0079519A">
        <w:t>růřezovým poskytovatelem dotací v oblasti bezpečnosti bylo</w:t>
      </w:r>
      <w:r w:rsidR="001B0FA0">
        <w:t xml:space="preserve"> ustanoveno Ministerstvo vnitra</w:t>
      </w:r>
      <w:r w:rsidR="004256E2">
        <w:t>.</w:t>
      </w:r>
      <w:r w:rsidRPr="0079519A">
        <w:t xml:space="preserve"> </w:t>
      </w:r>
    </w:p>
    <w:p w:rsidR="00990D75" w:rsidRPr="0079519A" w:rsidRDefault="00990D75" w:rsidP="0028418A">
      <w:r>
        <w:t xml:space="preserve">V roce 2011 vznikla </w:t>
      </w:r>
      <w:r w:rsidRPr="0079519A">
        <w:t>Technologická agentura ČR (dále jen „TAČR“)</w:t>
      </w:r>
      <w:r>
        <w:t>, která</w:t>
      </w:r>
      <w:r w:rsidRPr="0079519A">
        <w:t xml:space="preserve"> postupně vyhlašuje mimo jiné i</w:t>
      </w:r>
      <w:r>
        <w:t> </w:t>
      </w:r>
      <w:r w:rsidRPr="0079519A">
        <w:t xml:space="preserve">programy k řešení potřeb státní správy a pro ČBÚ se </w:t>
      </w:r>
      <w:r>
        <w:t xml:space="preserve">tak </w:t>
      </w:r>
      <w:r w:rsidRPr="0079519A">
        <w:t xml:space="preserve">naskytla možnost uplatnit projekty </w:t>
      </w:r>
      <w:r w:rsidR="00197253">
        <w:t xml:space="preserve">z oblasti hornictví </w:t>
      </w:r>
      <w:r w:rsidRPr="0079519A">
        <w:t>formou veřejných zakázek v rámci programu BETA s řešením od roku 2012. V průběhu roku 201</w:t>
      </w:r>
      <w:r>
        <w:t>4</w:t>
      </w:r>
      <w:r w:rsidRPr="0079519A">
        <w:t xml:space="preserve"> </w:t>
      </w:r>
      <w:r>
        <w:t xml:space="preserve">bylo </w:t>
      </w:r>
      <w:r w:rsidRPr="0079519A">
        <w:t xml:space="preserve">v rámci tohoto programu </w:t>
      </w:r>
      <w:r>
        <w:t>ukončeno</w:t>
      </w:r>
      <w:r w:rsidRPr="0079519A">
        <w:t xml:space="preserve"> řešení tří projektů:</w:t>
      </w:r>
    </w:p>
    <w:p w:rsidR="00990D75" w:rsidRPr="00C277F6" w:rsidRDefault="00990D75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79519A">
        <w:t>„Zhodnocení technologií a projektů pro využívání energetického potenciálu důlních</w:t>
      </w:r>
      <w:r>
        <w:t xml:space="preserve"> </w:t>
      </w:r>
      <w:r w:rsidRPr="00C277F6">
        <w:t>vod a optimalizace právních předpisů pro realizaci a bezpečný provoz těchto</w:t>
      </w:r>
      <w:r>
        <w:t xml:space="preserve"> </w:t>
      </w:r>
      <w:r w:rsidRPr="00C277F6">
        <w:t>technologií“.</w:t>
      </w:r>
    </w:p>
    <w:p w:rsidR="00990D75" w:rsidRPr="00C277F6" w:rsidRDefault="00990D75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>
        <w:t>„</w:t>
      </w:r>
      <w:r w:rsidRPr="0079519A">
        <w:t>Nové technologické možnosti dobývání ložisek uranu v ČR s ohledem na</w:t>
      </w:r>
      <w:r>
        <w:t xml:space="preserve"> </w:t>
      </w:r>
      <w:r w:rsidR="00FA4367">
        <w:t xml:space="preserve">minimalizaci </w:t>
      </w:r>
      <w:r w:rsidRPr="00C277F6">
        <w:t xml:space="preserve">dopadů na životní prostředí </w:t>
      </w:r>
      <w:r>
        <w:t>a jejich legislativní zajištění“</w:t>
      </w:r>
      <w:r w:rsidRPr="00C277F6">
        <w:t>.</w:t>
      </w:r>
    </w:p>
    <w:p w:rsidR="00990D75" w:rsidRPr="001B77E8" w:rsidRDefault="00990D75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1B77E8">
        <w:t>„Predikce horninových struktur na základě stávajících geologických poznatků, vedoucích k možnému vybudování dalších podzemních zásobníků pro uskladňování zemního plynu“.</w:t>
      </w:r>
    </w:p>
    <w:p w:rsidR="00990D75" w:rsidRPr="001B77E8" w:rsidRDefault="00990D75" w:rsidP="001B77E8">
      <w:r w:rsidRPr="001B77E8">
        <w:t>Všechny tyto tři projekty byly oponentními řízeními hodnoceny jako úspěšné a jejich výsledky jsou postupně podle plánu hlavních úkolů realizovány.</w:t>
      </w:r>
    </w:p>
    <w:p w:rsidR="00990D75" w:rsidRDefault="00990D75" w:rsidP="001B77E8">
      <w:r w:rsidRPr="0079519A">
        <w:t xml:space="preserve">Kromě kontrolní činnosti byla činnost </w:t>
      </w:r>
      <w:proofErr w:type="spellStart"/>
      <w:r w:rsidRPr="0079519A">
        <w:t>VaV</w:t>
      </w:r>
      <w:proofErr w:type="spellEnd"/>
      <w:r w:rsidRPr="0079519A">
        <w:t xml:space="preserve"> na ČBÚ zaměřena v roce 201</w:t>
      </w:r>
      <w:r>
        <w:t>4</w:t>
      </w:r>
      <w:r w:rsidRPr="0079519A">
        <w:t xml:space="preserve"> na zpracování zadání </w:t>
      </w:r>
      <w:r>
        <w:t xml:space="preserve">a výběrová řízení </w:t>
      </w:r>
      <w:r w:rsidRPr="0079519A">
        <w:t xml:space="preserve">dalších projektů ve smyslu specifických potřeb ČBÚ vůči TAČR. V tomto cyklu byly zpracovány a </w:t>
      </w:r>
      <w:r>
        <w:t>projednávány</w:t>
      </w:r>
      <w:r w:rsidRPr="0079519A">
        <w:t xml:space="preserve"> 2 návrhy projektů:</w:t>
      </w:r>
    </w:p>
    <w:p w:rsidR="00990D75" w:rsidRDefault="00990D75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79519A">
        <w:t>„Výzkum technologických možností získávání vzácných kovů</w:t>
      </w:r>
      <w:r>
        <w:t xml:space="preserve"> v ČR s ohledem na minimalizaci </w:t>
      </w:r>
      <w:r w:rsidRPr="0079519A">
        <w:t>dopadů na životní prostředí a jejich legislativní zajištění“</w:t>
      </w:r>
      <w:r>
        <w:t>.</w:t>
      </w:r>
      <w:r w:rsidR="0028418A">
        <w:t xml:space="preserve"> </w:t>
      </w:r>
      <w:r>
        <w:t>U tohoto projektu</w:t>
      </w:r>
      <w:r w:rsidRPr="0079519A">
        <w:t xml:space="preserve"> byla zpracována zadávací a kvalifikační dokumentace a bylo vyhlášeno výběrové řízení</w:t>
      </w:r>
      <w:r>
        <w:t>, které muselo být opakováno pro vyřazení jedné ze dvou podaných nabídek řešení.</w:t>
      </w:r>
      <w:r w:rsidRPr="0079519A">
        <w:t xml:space="preserve"> </w:t>
      </w:r>
    </w:p>
    <w:p w:rsidR="00990D75" w:rsidRDefault="00990D75" w:rsidP="001B77E8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C277F6">
        <w:lastRenderedPageBreak/>
        <w:t>„Výzkum netradičních metod dobývání vázaných zásob v uhelných dolech“</w:t>
      </w:r>
      <w:r>
        <w:t>.</w:t>
      </w:r>
      <w:r w:rsidR="0028418A">
        <w:t xml:space="preserve"> </w:t>
      </w:r>
      <w:r>
        <w:t>Rovněž zde byla zpracována zadávací a kvalifikační dokumentace a bylo vyhlášeno</w:t>
      </w:r>
      <w:r w:rsidRPr="00C277F6">
        <w:t xml:space="preserve"> </w:t>
      </w:r>
      <w:r w:rsidRPr="0079519A">
        <w:t>výběrové řízení</w:t>
      </w:r>
      <w:r>
        <w:t>, které muselo být opakováno pro vyřazení jedné ze dvou podaných nabídek řešení.</w:t>
      </w:r>
      <w:r w:rsidRPr="0079519A">
        <w:t xml:space="preserve"> </w:t>
      </w:r>
    </w:p>
    <w:p w:rsidR="00990D75" w:rsidRPr="00951D5F" w:rsidRDefault="00990D75" w:rsidP="001B77E8">
      <w:r w:rsidRPr="00951D5F">
        <w:t>Od roku 2014 se ČBÚ zapojil do programu EPSILON, vyhlášeného rovněž TAČR. Tento program je zaměřen zejména na zlepšení pozice českého průmyslu</w:t>
      </w:r>
      <w:r w:rsidR="00951D5F" w:rsidRPr="00951D5F">
        <w:t>,</w:t>
      </w:r>
      <w:r w:rsidRPr="00951D5F">
        <w:t xml:space="preserve"> mj. i v oblasti energetiky.</w:t>
      </w:r>
    </w:p>
    <w:p w:rsidR="007E35BE" w:rsidRPr="00F45113" w:rsidRDefault="004C771F" w:rsidP="001B77E8">
      <w:pPr>
        <w:pStyle w:val="Nadpis1"/>
      </w:pPr>
      <w:bookmarkStart w:id="19" w:name="_Toc422823304"/>
      <w:r>
        <w:t xml:space="preserve">ZÁSADNÍ </w:t>
      </w:r>
      <w:r w:rsidR="007E35BE" w:rsidRPr="00F45113">
        <w:t>RIZIKA</w:t>
      </w:r>
      <w:r w:rsidR="001B77E8">
        <w:t xml:space="preserve"> V</w:t>
      </w:r>
      <w:r w:rsidR="007E35BE" w:rsidRPr="00F45113">
        <w:t xml:space="preserve"> </w:t>
      </w:r>
      <w:r w:rsidR="00077369" w:rsidRPr="00F45113">
        <w:t>HORNICTVÍ</w:t>
      </w:r>
      <w:bookmarkEnd w:id="19"/>
    </w:p>
    <w:p w:rsidR="0064714D" w:rsidRPr="00D10485" w:rsidRDefault="0064714D" w:rsidP="001B77E8">
      <w:pPr>
        <w:pStyle w:val="Nadpis2"/>
      </w:pPr>
      <w:bookmarkStart w:id="20" w:name="_Toc422823305"/>
      <w:r w:rsidRPr="00D10485">
        <w:t>Důlní ot</w:t>
      </w:r>
      <w:r w:rsidR="00E50634" w:rsidRPr="00D10485">
        <w:t>řesy</w:t>
      </w:r>
      <w:bookmarkEnd w:id="20"/>
    </w:p>
    <w:p w:rsidR="0038020A" w:rsidRPr="00D10485" w:rsidRDefault="0064714D" w:rsidP="0028418A">
      <w:r w:rsidRPr="00D10485">
        <w:t>Důlní otřesy jsou trvalým rizikem spojeným s hornickou činností v sedlových slojích</w:t>
      </w:r>
      <w:r w:rsidRPr="00D10485">
        <w:br/>
        <w:t xml:space="preserve">a jsou stálým nebezpečím v karvinské části Ostravsko – karvinského revíru. I přes hluboké poznání mechanizmu důlních otřesů nelze stanovit taková preventivní opatření, která by jejich vznik zcela vyloučila. Prognóza důlních otřesů je dosud nevyřešeným </w:t>
      </w:r>
      <w:r w:rsidR="00B53D5E">
        <w:t>celo</w:t>
      </w:r>
      <w:r w:rsidRPr="00D10485">
        <w:t>světovým problémem</w:t>
      </w:r>
      <w:r w:rsidR="005B065B">
        <w:t xml:space="preserve"> dobývání v hlubokých dolech</w:t>
      </w:r>
      <w:r w:rsidR="00C75DD1">
        <w:t xml:space="preserve">, a to nejen v uhelných. </w:t>
      </w:r>
      <w:r w:rsidR="002E1C16">
        <w:t xml:space="preserve"> </w:t>
      </w:r>
      <w:r w:rsidR="00C75DD1">
        <w:t xml:space="preserve">Zvýšené riziko </w:t>
      </w:r>
      <w:r w:rsidR="00C01B4B">
        <w:t xml:space="preserve">důlních otřesů </w:t>
      </w:r>
      <w:r w:rsidR="005B065B">
        <w:t xml:space="preserve">vzniká zejména </w:t>
      </w:r>
      <w:r w:rsidR="00C01B4B">
        <w:t xml:space="preserve">postupem dobývání do hlubších partií ložiska a dobýváním zbytkových zásob. </w:t>
      </w:r>
      <w:r w:rsidR="005B065B">
        <w:t>Na pracovištích, která jsou vyhodnocena z hlediska nebezpečí důlních otřesů jako nejrizikovější</w:t>
      </w:r>
      <w:r w:rsidR="005E79D5">
        <w:t>,</w:t>
      </w:r>
      <w:r w:rsidR="005B065B">
        <w:t xml:space="preserve"> jsou pro vedení pracovišť ustanoveny skupiny</w:t>
      </w:r>
      <w:r w:rsidR="00B53D5E">
        <w:t xml:space="preserve"> odborníků </w:t>
      </w:r>
      <w:r w:rsidR="005B065B">
        <w:t>–</w:t>
      </w:r>
      <w:r w:rsidR="00B53D5E">
        <w:t xml:space="preserve"> </w:t>
      </w:r>
      <w:r w:rsidR="005B065B">
        <w:t>tzv. interpretační komise, které</w:t>
      </w:r>
      <w:r w:rsidR="00B53D5E">
        <w:t xml:space="preserve"> </w:t>
      </w:r>
      <w:r w:rsidR="00C01B4B">
        <w:t>pravidelně vyhodnocuj</w:t>
      </w:r>
      <w:r w:rsidR="005B065B">
        <w:t>í</w:t>
      </w:r>
      <w:r w:rsidR="00A82D85">
        <w:t xml:space="preserve"> a posuzuj</w:t>
      </w:r>
      <w:r w:rsidR="005E79D5">
        <w:t>í</w:t>
      </w:r>
      <w:r w:rsidR="00A82D85">
        <w:t xml:space="preserve"> </w:t>
      </w:r>
      <w:r w:rsidR="00B53D5E">
        <w:t xml:space="preserve">napěťový stav horského masivu a </w:t>
      </w:r>
      <w:r w:rsidR="00A82D85">
        <w:t xml:space="preserve">účinnost prostředků </w:t>
      </w:r>
      <w:proofErr w:type="spellStart"/>
      <w:r w:rsidR="00A82D85">
        <w:t>protiotřesové</w:t>
      </w:r>
      <w:proofErr w:type="spellEnd"/>
      <w:r w:rsidR="00A82D85">
        <w:t xml:space="preserve"> prevence</w:t>
      </w:r>
      <w:r w:rsidR="00C01B4B">
        <w:t xml:space="preserve"> a </w:t>
      </w:r>
      <w:r w:rsidR="00B53D5E">
        <w:t xml:space="preserve">na základě toho </w:t>
      </w:r>
      <w:r w:rsidR="005B065B">
        <w:t>doporučují</w:t>
      </w:r>
      <w:r w:rsidR="00C01B4B">
        <w:t xml:space="preserve"> </w:t>
      </w:r>
      <w:r w:rsidR="005B065B">
        <w:t xml:space="preserve">opatření k dalšímu postupu </w:t>
      </w:r>
      <w:r w:rsidR="00C01B4B">
        <w:t>dobývání.</w:t>
      </w:r>
      <w:r w:rsidR="005B065B">
        <w:t xml:space="preserve"> Jsou realizována aktivní opatření, mající za úkol předcházet důlním otřesům např</w:t>
      </w:r>
      <w:r w:rsidR="001B0FA0">
        <w:t>.</w:t>
      </w:r>
      <w:r w:rsidR="005B065B">
        <w:t xml:space="preserve"> snižováním napěťového stavu horského masívu jeho rozrušováním, nebo stanovením optimálního časově-prostorového postupu dobývání</w:t>
      </w:r>
      <w:r w:rsidR="003F3D5B">
        <w:t>. Dále pasivní opatření, která pro případ, že se vzniku otřesu nepodaří zabránit</w:t>
      </w:r>
      <w:r w:rsidR="005E79D5">
        <w:t>,</w:t>
      </w:r>
      <w:r w:rsidR="003F3D5B">
        <w:t xml:space="preserve"> mají za úkol minimalizovat škody, zejména na lidském zdraví. Ta např. omezují pohyb osob v ohrožených oblastech na nezbytné minimum a jen na základě předchozího aktuálního stavu seismické aktivity horského masívu. </w:t>
      </w:r>
    </w:p>
    <w:p w:rsidR="00561F00" w:rsidRPr="00E32F32" w:rsidRDefault="003F3D5B" w:rsidP="0028418A">
      <w:r>
        <w:t>Přes tato opatření a vytrvalé zvýšené úsilí státní báňské správy i organizací se ani v </w:t>
      </w:r>
      <w:r w:rsidR="0064714D" w:rsidRPr="00FB6E4D">
        <w:t>ro</w:t>
      </w:r>
      <w:r w:rsidR="00E43EB8" w:rsidRPr="00FB6E4D">
        <w:t>ce</w:t>
      </w:r>
      <w:r w:rsidR="0064714D" w:rsidRPr="00FB6E4D">
        <w:t xml:space="preserve"> 20</w:t>
      </w:r>
      <w:r w:rsidR="00E43EB8" w:rsidRPr="00FB6E4D">
        <w:t>1</w:t>
      </w:r>
      <w:r w:rsidR="00FB6E4D" w:rsidRPr="00FB6E4D">
        <w:t>4</w:t>
      </w:r>
      <w:r w:rsidR="0064714D" w:rsidRPr="00FB6E4D">
        <w:t xml:space="preserve"> </w:t>
      </w:r>
      <w:r>
        <w:t>nepodařilo vzniku otřesů zabránit, neboť se do značné míry jedná o stochastické jevy. B</w:t>
      </w:r>
      <w:r w:rsidR="00E43EB8" w:rsidRPr="00FB6E4D">
        <w:t>yl</w:t>
      </w:r>
      <w:r w:rsidR="005E351B" w:rsidRPr="00FB6E4D">
        <w:t>o</w:t>
      </w:r>
      <w:r w:rsidR="00E43EB8" w:rsidRPr="00FB6E4D">
        <w:t xml:space="preserve"> </w:t>
      </w:r>
      <w:r w:rsidR="00FB6E4D" w:rsidRPr="00FB6E4D">
        <w:t>zaznamenáno 6</w:t>
      </w:r>
      <w:r w:rsidR="005E351B" w:rsidRPr="00FB6E4D">
        <w:t xml:space="preserve"> důlních</w:t>
      </w:r>
      <w:r w:rsidR="00E417E3" w:rsidRPr="00FB6E4D">
        <w:t xml:space="preserve"> otřes</w:t>
      </w:r>
      <w:r w:rsidR="005E351B" w:rsidRPr="00FB6E4D">
        <w:t>ů</w:t>
      </w:r>
      <w:r w:rsidR="00E43EB8" w:rsidRPr="00FB6E4D">
        <w:t xml:space="preserve"> </w:t>
      </w:r>
      <w:r w:rsidR="0064714D" w:rsidRPr="00FB6E4D">
        <w:t>(viz tabulka č.</w:t>
      </w:r>
      <w:r w:rsidR="00E43EB8" w:rsidRPr="00FB6E4D">
        <w:t xml:space="preserve"> </w:t>
      </w:r>
      <w:r w:rsidR="00B53D5E">
        <w:t>9</w:t>
      </w:r>
      <w:r w:rsidR="00E417E3" w:rsidRPr="00FB6E4D">
        <w:t xml:space="preserve">), </w:t>
      </w:r>
      <w:r w:rsidR="00FB6E4D">
        <w:t>z nichž u jednoho</w:t>
      </w:r>
      <w:r w:rsidR="0064714D" w:rsidRPr="00FB6E4D">
        <w:t xml:space="preserve"> </w:t>
      </w:r>
      <w:r w:rsidR="00597905" w:rsidRPr="00FB6E4D">
        <w:t xml:space="preserve">došlo </w:t>
      </w:r>
      <w:proofErr w:type="gramStart"/>
      <w:r w:rsidR="00597905" w:rsidRPr="00FB6E4D">
        <w:t>k</w:t>
      </w:r>
      <w:r w:rsidR="001B0FA0">
        <w:t>e</w:t>
      </w:r>
      <w:proofErr w:type="gramEnd"/>
      <w:r w:rsidR="001B0FA0">
        <w:t xml:space="preserve"> 3</w:t>
      </w:r>
      <w:r w:rsidR="0009299B" w:rsidRPr="00FB6E4D">
        <w:t> </w:t>
      </w:r>
      <w:r w:rsidR="00597905" w:rsidRPr="00FB6E4D">
        <w:t>smrtelným</w:t>
      </w:r>
      <w:r w:rsidR="00E43EB8" w:rsidRPr="00FB6E4D">
        <w:t xml:space="preserve"> pracovním úrazům</w:t>
      </w:r>
      <w:r w:rsidR="00D10485" w:rsidRPr="00FB6E4D">
        <w:t>.</w:t>
      </w:r>
    </w:p>
    <w:p w:rsidR="00E43EB8" w:rsidRPr="001B77E8" w:rsidRDefault="00E43EB8" w:rsidP="001B77E8">
      <w:pPr>
        <w:ind w:left="1560" w:hanging="1560"/>
        <w:jc w:val="left"/>
        <w:rPr>
          <w:rStyle w:val="Nzevknihy"/>
        </w:rPr>
      </w:pPr>
      <w:r w:rsidRPr="001B77E8">
        <w:rPr>
          <w:rStyle w:val="Nzevknihy"/>
        </w:rPr>
        <w:t xml:space="preserve">Tabulka č. </w:t>
      </w:r>
      <w:r w:rsidR="00B53D5E" w:rsidRPr="001B77E8">
        <w:rPr>
          <w:rStyle w:val="Nzevknihy"/>
        </w:rPr>
        <w:t>9</w:t>
      </w:r>
      <w:r w:rsidRPr="001B77E8">
        <w:rPr>
          <w:rStyle w:val="Nzevknihy"/>
        </w:rPr>
        <w:t xml:space="preserve"> - </w:t>
      </w:r>
      <w:r w:rsidR="001B77E8">
        <w:rPr>
          <w:rStyle w:val="Nzevknihy"/>
        </w:rPr>
        <w:t>V</w:t>
      </w:r>
      <w:r w:rsidRPr="001B77E8">
        <w:rPr>
          <w:rStyle w:val="Nzevknihy"/>
        </w:rPr>
        <w:t>ývoj počtu důlních otřesů a počtu smrtelných úrazů př</w:t>
      </w:r>
      <w:r w:rsidR="00A84B63" w:rsidRPr="001B77E8">
        <w:rPr>
          <w:rStyle w:val="Nzevknihy"/>
        </w:rPr>
        <w:t>i důlních otřesech v letech 200</w:t>
      </w:r>
      <w:r w:rsidR="00B53D5E" w:rsidRPr="001B77E8">
        <w:rPr>
          <w:rStyle w:val="Nzevknihy"/>
        </w:rPr>
        <w:t>4</w:t>
      </w:r>
      <w:r w:rsidRPr="001B77E8">
        <w:rPr>
          <w:rStyle w:val="Nzevknihy"/>
        </w:rPr>
        <w:t xml:space="preserve"> - 201</w:t>
      </w:r>
      <w:r w:rsidR="00A84B63" w:rsidRPr="001B77E8">
        <w:rPr>
          <w:rStyle w:val="Nzevknihy"/>
        </w:rPr>
        <w:t>4</w:t>
      </w:r>
      <w:r w:rsidRPr="001B77E8">
        <w:rPr>
          <w:rStyle w:val="Nzevknihy"/>
        </w:rPr>
        <w:t xml:space="preserve"> v </w:t>
      </w:r>
      <w:proofErr w:type="spellStart"/>
      <w:r w:rsidR="002B7DBB" w:rsidRPr="001B77E8">
        <w:rPr>
          <w:rStyle w:val="Nzevknihy"/>
        </w:rPr>
        <w:t>o</w:t>
      </w:r>
      <w:r w:rsidRPr="001B77E8">
        <w:rPr>
          <w:rStyle w:val="Nzevknihy"/>
        </w:rPr>
        <w:t>stravsko</w:t>
      </w:r>
      <w:proofErr w:type="spellEnd"/>
      <w:r w:rsidRPr="001B77E8">
        <w:rPr>
          <w:rStyle w:val="Nzevknihy"/>
        </w:rPr>
        <w:t xml:space="preserve"> – karvinském revíru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0"/>
        <w:gridCol w:w="713"/>
        <w:gridCol w:w="713"/>
        <w:gridCol w:w="713"/>
        <w:gridCol w:w="715"/>
        <w:gridCol w:w="713"/>
        <w:gridCol w:w="713"/>
        <w:gridCol w:w="713"/>
        <w:gridCol w:w="712"/>
        <w:gridCol w:w="712"/>
        <w:gridCol w:w="712"/>
        <w:gridCol w:w="712"/>
      </w:tblGrid>
      <w:tr w:rsidR="00B53D5E" w:rsidRPr="001B77E8" w:rsidTr="00827F5A">
        <w:trPr>
          <w:trHeight w:val="540"/>
        </w:trPr>
        <w:tc>
          <w:tcPr>
            <w:tcW w:w="1048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Ukazatel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2004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2005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2006</w:t>
            </w:r>
          </w:p>
        </w:tc>
        <w:tc>
          <w:tcPr>
            <w:tcW w:w="360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2007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2008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2009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2010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2011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2012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2013</w:t>
            </w:r>
          </w:p>
        </w:tc>
        <w:tc>
          <w:tcPr>
            <w:tcW w:w="359" w:type="pct"/>
            <w:tcBorders>
              <w:top w:val="single" w:sz="8" w:space="0" w:color="auto"/>
              <w:bottom w:val="single" w:sz="6" w:space="0" w:color="auto"/>
            </w:tcBorders>
            <w:shd w:val="clear" w:color="auto" w:fill="48723E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2014</w:t>
            </w:r>
          </w:p>
        </w:tc>
      </w:tr>
      <w:tr w:rsidR="00B53D5E" w:rsidRPr="001B77E8" w:rsidTr="00B53D5E">
        <w:trPr>
          <w:trHeight w:val="540"/>
        </w:trPr>
        <w:tc>
          <w:tcPr>
            <w:tcW w:w="1048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Počet důlních otřesů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60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6</w:t>
            </w:r>
          </w:p>
        </w:tc>
      </w:tr>
      <w:tr w:rsidR="00B53D5E" w:rsidRPr="001B77E8" w:rsidTr="00B53D5E">
        <w:trPr>
          <w:trHeight w:val="525"/>
        </w:trPr>
        <w:tc>
          <w:tcPr>
            <w:tcW w:w="1048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Počet smrtelných úrazů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60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9" w:type="pct"/>
            <w:vAlign w:val="center"/>
          </w:tcPr>
          <w:p w:rsidR="00B53D5E" w:rsidRPr="001B77E8" w:rsidRDefault="00B53D5E" w:rsidP="001B77E8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1B77E8">
              <w:rPr>
                <w:sz w:val="22"/>
                <w:szCs w:val="22"/>
                <w:lang w:eastAsia="zh-CN"/>
              </w:rPr>
              <w:t>3</w:t>
            </w:r>
          </w:p>
        </w:tc>
      </w:tr>
    </w:tbl>
    <w:p w:rsidR="0064714D" w:rsidRPr="00D10485" w:rsidRDefault="003E0A67" w:rsidP="001B77E8">
      <w:pPr>
        <w:pStyle w:val="Nadpis2"/>
      </w:pPr>
      <w:bookmarkStart w:id="21" w:name="_Toc422823306"/>
      <w:r w:rsidRPr="00D10485">
        <w:t>Nahromadění a zapálení metanu</w:t>
      </w:r>
      <w:bookmarkEnd w:id="21"/>
    </w:p>
    <w:p w:rsidR="00A14C50" w:rsidRPr="00D10485" w:rsidRDefault="003E0A67" w:rsidP="0028418A">
      <w:r w:rsidRPr="00D10485">
        <w:t xml:space="preserve">Přestože za posledních </w:t>
      </w:r>
      <w:r w:rsidR="00C75DD1">
        <w:t>13</w:t>
      </w:r>
      <w:r w:rsidR="00137D9E" w:rsidRPr="00D10485">
        <w:t xml:space="preserve"> let nedošlo k žádným smrtelným úrazům v souvislosti s tímto rizikem (poslední smrtelné úrazy nastaly při mimořádné události na Dole </w:t>
      </w:r>
      <w:proofErr w:type="spellStart"/>
      <w:r w:rsidR="00137D9E" w:rsidRPr="00D10485">
        <w:t>Schöller</w:t>
      </w:r>
      <w:proofErr w:type="spellEnd"/>
      <w:r w:rsidR="00137D9E" w:rsidRPr="00D10485">
        <w:t xml:space="preserve"> v Kladenském revíru v roce 2001), toto nebezpečí nelze podceňovat a je nutno je mít stále na paměti. </w:t>
      </w:r>
      <w:r w:rsidR="00197253">
        <w:t>D</w:t>
      </w:r>
      <w:r w:rsidR="00137D9E" w:rsidRPr="00D10485">
        <w:t xml:space="preserve">ostatečným větráním důlních děl, stálou kontrolou koncentrace metanu v důlním ovzduší s využitím moderní </w:t>
      </w:r>
      <w:r w:rsidR="00137D9E" w:rsidRPr="00D10485">
        <w:lastRenderedPageBreak/>
        <w:t>měřicí techniky a odpovídajícím technic</w:t>
      </w:r>
      <w:r w:rsidR="005A410F">
        <w:t>kým stavem technických zařízení</w:t>
      </w:r>
      <w:r w:rsidR="00137D9E" w:rsidRPr="00D10485">
        <w:t xml:space="preserve"> lze toto riziko značně snížit, ale ne zcela vyloučit.</w:t>
      </w:r>
      <w:r w:rsidR="003F3D5B">
        <w:t xml:space="preserve"> Jako varování lze uvést zapálení a výbuch metanu v polském uhelném dole </w:t>
      </w:r>
      <w:r w:rsidR="003F3D5B" w:rsidRPr="00495217">
        <w:t>„</w:t>
      </w:r>
      <w:proofErr w:type="spellStart"/>
      <w:r w:rsidR="003F3D5B" w:rsidRPr="00495217">
        <w:t>Mysłowice-Wesoła</w:t>
      </w:r>
      <w:proofErr w:type="spellEnd"/>
      <w:r w:rsidR="003F3D5B" w:rsidRPr="00495217">
        <w:t xml:space="preserve">”, </w:t>
      </w:r>
      <w:r w:rsidR="003F3D5B">
        <w:t>při kterém zahynulo</w:t>
      </w:r>
      <w:r w:rsidR="003F3D5B" w:rsidRPr="00495217">
        <w:t xml:space="preserve"> 5 horníků</w:t>
      </w:r>
      <w:r w:rsidR="003F3D5B">
        <w:t xml:space="preserve"> a</w:t>
      </w:r>
      <w:r w:rsidR="003F3D5B" w:rsidRPr="00495217">
        <w:t xml:space="preserve"> 15 </w:t>
      </w:r>
      <w:r w:rsidR="003F3D5B">
        <w:t>jich bylo těžce zraněno</w:t>
      </w:r>
      <w:r w:rsidR="002E1C16">
        <w:t xml:space="preserve">. Nutno připomenout, že se v tomto dole dobývá </w:t>
      </w:r>
      <w:r w:rsidR="003F3D5B">
        <w:t>v podobných přírodních podmínkách jako v české části Hornoslezské pánve.</w:t>
      </w:r>
    </w:p>
    <w:p w:rsidR="0087314F" w:rsidRDefault="00137D9E" w:rsidP="001B77E8">
      <w:pPr>
        <w:pStyle w:val="Nadpis2"/>
      </w:pPr>
      <w:bookmarkStart w:id="22" w:name="_Toc422823307"/>
      <w:r w:rsidRPr="008838BE">
        <w:t>Důlní požáry</w:t>
      </w:r>
      <w:bookmarkEnd w:id="22"/>
    </w:p>
    <w:p w:rsidR="00392D98" w:rsidRPr="008838BE" w:rsidRDefault="00137D9E" w:rsidP="0028418A">
      <w:r w:rsidRPr="008838BE">
        <w:t>Prvotním</w:t>
      </w:r>
      <w:r w:rsidR="00392D98" w:rsidRPr="008838BE">
        <w:t xml:space="preserve"> nebezpečím důlních požárů je především výstup toxických </w:t>
      </w:r>
      <w:r w:rsidR="00E32F32">
        <w:t>zplodin</w:t>
      </w:r>
      <w:r w:rsidR="00392D98" w:rsidRPr="008838BE">
        <w:t xml:space="preserve"> do důlního </w:t>
      </w:r>
      <w:r w:rsidR="00A14C50">
        <w:t>ovzduší</w:t>
      </w:r>
      <w:r w:rsidR="00392D98" w:rsidRPr="008838BE">
        <w:t xml:space="preserve"> s dopadem na zdraví a životy zaměstnanců, druhotným nebezpečím je pak možná iniciace zapálení metanu nebo uhelného prachu. Podle zdroje vzniku mohou důlní požáry vzniknout z příčin:</w:t>
      </w:r>
    </w:p>
    <w:p w:rsidR="00392D98" w:rsidRPr="008838BE" w:rsidRDefault="00392D98" w:rsidP="00124900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8838BE">
        <w:t xml:space="preserve">vnitřních (endogenních), které vznikají v důsledku samovznícení uhelné hmoty a jsou průvodním jevem technologie dobývání uhlí. </w:t>
      </w:r>
      <w:r w:rsidR="00AD6094">
        <w:t>Dochází k n</w:t>
      </w:r>
      <w:r w:rsidR="002E1C16">
        <w:t>im</w:t>
      </w:r>
      <w:r w:rsidR="00AD6094">
        <w:t xml:space="preserve"> zejména v místech, kde se nachází porušená uhelná hmota mimo účinný dosah větrání a tedy mimo účinný dosah chlazení a přitom v místech, kde je ještě dotována dostatečným množstvím kyslíku potřebného k samovznícení. </w:t>
      </w:r>
      <w:r w:rsidR="006837F6">
        <w:t>Proto jsou j</w:t>
      </w:r>
      <w:r w:rsidR="006837F6" w:rsidRPr="008838BE">
        <w:t xml:space="preserve">ako opatření k omezení vzniků samovznícení uhelné hmoty </w:t>
      </w:r>
      <w:r w:rsidR="006837F6">
        <w:t>využívány zejména metody, které brání styku uhlí se vzdušným kyslíkem</w:t>
      </w:r>
      <w:r w:rsidR="002E1C16">
        <w:t>. S</w:t>
      </w:r>
      <w:r w:rsidR="006837F6">
        <w:t xml:space="preserve">počívají zejména v těsnění nepotřebných důlních prostor a v jejich </w:t>
      </w:r>
      <w:proofErr w:type="spellStart"/>
      <w:r w:rsidR="006837F6">
        <w:t>inertizaci</w:t>
      </w:r>
      <w:proofErr w:type="spellEnd"/>
      <w:r w:rsidR="006837F6">
        <w:t xml:space="preserve"> dusíkem. M</w:t>
      </w:r>
      <w:r w:rsidR="00AD6094">
        <w:t>asivn</w:t>
      </w:r>
      <w:r w:rsidR="006837F6">
        <w:t>ě je využívána</w:t>
      </w:r>
      <w:r w:rsidRPr="008838BE">
        <w:t xml:space="preserve"> </w:t>
      </w:r>
      <w:r w:rsidR="006837F6">
        <w:t>přesná</w:t>
      </w:r>
      <w:r w:rsidR="00AD6094">
        <w:t xml:space="preserve"> </w:t>
      </w:r>
      <w:r w:rsidRPr="008838BE">
        <w:t>měřicí technik</w:t>
      </w:r>
      <w:r w:rsidR="005E79D5">
        <w:t>a</w:t>
      </w:r>
      <w:r w:rsidRPr="008838BE">
        <w:t xml:space="preserve"> pro kontinuální sledování oxidu uhelnatého v důlním ovzduší</w:t>
      </w:r>
      <w:r w:rsidR="006837F6">
        <w:t xml:space="preserve">, která napomáhá </w:t>
      </w:r>
      <w:r w:rsidR="00AD6094">
        <w:t>včasnému</w:t>
      </w:r>
      <w:r w:rsidR="006837F6">
        <w:t xml:space="preserve"> zjišťování</w:t>
      </w:r>
      <w:r w:rsidR="00AD6094">
        <w:t xml:space="preserve"> </w:t>
      </w:r>
      <w:proofErr w:type="spellStart"/>
      <w:r w:rsidR="00AD6094">
        <w:t>samovzněcovacích</w:t>
      </w:r>
      <w:proofErr w:type="spellEnd"/>
      <w:r w:rsidR="00AD6094">
        <w:t xml:space="preserve"> procesů </w:t>
      </w:r>
      <w:r w:rsidR="002E1C16">
        <w:br/>
      </w:r>
      <w:r w:rsidR="00AD6094">
        <w:t xml:space="preserve">a </w:t>
      </w:r>
      <w:r w:rsidRPr="008838BE">
        <w:t>podstatně snížila výskyt případů</w:t>
      </w:r>
      <w:r w:rsidR="00AD6094">
        <w:t xml:space="preserve"> rozvinutého</w:t>
      </w:r>
      <w:r w:rsidRPr="008838BE">
        <w:t xml:space="preserve"> samovznícení</w:t>
      </w:r>
      <w:r w:rsidR="00AD6094">
        <w:t>. Přes</w:t>
      </w:r>
      <w:r w:rsidR="006837F6">
        <w:t xml:space="preserve"> všechna tato opatření nebude ani do budoucna možno endogenní požáry zcela vyloučit, protože jsou způsobovány charakteristickou vlastností </w:t>
      </w:r>
      <w:r w:rsidR="00AD6094">
        <w:t>u nás dobývaného uhlí</w:t>
      </w:r>
      <w:r w:rsidR="006837F6">
        <w:t>, tedy jeho schopností samovznícení</w:t>
      </w:r>
      <w:r w:rsidR="00AD6094">
        <w:t>.</w:t>
      </w:r>
      <w:r w:rsidR="006837F6">
        <w:t xml:space="preserve"> Proto i tomuto riziku je orgány SBS věnována velká pozornost.</w:t>
      </w:r>
    </w:p>
    <w:p w:rsidR="00137D9E" w:rsidRPr="008838BE" w:rsidRDefault="00392D98" w:rsidP="00124900">
      <w:pPr>
        <w:pStyle w:val="Odstavecseseznamem"/>
        <w:numPr>
          <w:ilvl w:val="0"/>
          <w:numId w:val="40"/>
        </w:numPr>
        <w:spacing w:before="0" w:after="120"/>
        <w:ind w:left="1003" w:hanging="357"/>
        <w:contextualSpacing w:val="0"/>
      </w:pPr>
      <w:r w:rsidRPr="008838BE">
        <w:t>vnějších (e</w:t>
      </w:r>
      <w:r w:rsidR="00EA508B">
        <w:t>x</w:t>
      </w:r>
      <w:r w:rsidRPr="008838BE">
        <w:t>ogenních)</w:t>
      </w:r>
      <w:r w:rsidR="00740AD1" w:rsidRPr="008838BE">
        <w:t xml:space="preserve">, které vznikají </w:t>
      </w:r>
      <w:r w:rsidR="00A14C50">
        <w:t xml:space="preserve">např. </w:t>
      </w:r>
      <w:r w:rsidR="00740AD1" w:rsidRPr="008838BE">
        <w:t>v důsledku porušení bezpečnostních předpisů při práci s otevřeným ohněm a jsou nebezpečné zejména tím, že probíhají velmi rychle, snadno se šíří a</w:t>
      </w:r>
      <w:r w:rsidR="00106598" w:rsidRPr="008838BE">
        <w:t> </w:t>
      </w:r>
      <w:r w:rsidR="00740AD1" w:rsidRPr="008838BE">
        <w:t xml:space="preserve">produkují značné množství koncentrovaných, nedýchatelných a hlavně jedovatých zplodin. </w:t>
      </w:r>
    </w:p>
    <w:p w:rsidR="0038020A" w:rsidRPr="00C75DD1" w:rsidRDefault="0028418A" w:rsidP="00124900">
      <w:r>
        <w:t xml:space="preserve"> </w:t>
      </w:r>
      <w:r w:rsidR="008838BE" w:rsidRPr="00C75DD1">
        <w:t>V průběhu roku 201</w:t>
      </w:r>
      <w:r w:rsidR="00A84B63" w:rsidRPr="00C75DD1">
        <w:t>4</w:t>
      </w:r>
      <w:r w:rsidR="008838BE" w:rsidRPr="00C75DD1">
        <w:t xml:space="preserve"> došlo </w:t>
      </w:r>
      <w:r w:rsidR="0060731D" w:rsidRPr="00C75DD1">
        <w:t>k</w:t>
      </w:r>
      <w:r w:rsidR="006837F6">
        <w:t> 9 případům endogenních požárů v podzemí dolu a k </w:t>
      </w:r>
      <w:r w:rsidR="005A410F">
        <w:t>1</w:t>
      </w:r>
      <w:r w:rsidR="006837F6">
        <w:t xml:space="preserve"> </w:t>
      </w:r>
      <w:proofErr w:type="spellStart"/>
      <w:r w:rsidR="00C75DD1" w:rsidRPr="00C75DD1">
        <w:t>exogenímu</w:t>
      </w:r>
      <w:proofErr w:type="spellEnd"/>
      <w:r w:rsidR="00C75DD1" w:rsidRPr="00C75DD1">
        <w:t xml:space="preserve"> požáru</w:t>
      </w:r>
      <w:r w:rsidR="00536DDB" w:rsidRPr="00C75DD1">
        <w:t xml:space="preserve"> na povrchu</w:t>
      </w:r>
      <w:r w:rsidR="00B53D5E">
        <w:t xml:space="preserve"> </w:t>
      </w:r>
      <w:r w:rsidR="006837F6">
        <w:t>dolu u jámy</w:t>
      </w:r>
      <w:r w:rsidR="007B1B30" w:rsidRPr="00C75DD1">
        <w:t>.</w:t>
      </w:r>
      <w:r w:rsidR="00C75DD1" w:rsidRPr="00C75DD1">
        <w:t xml:space="preserve"> </w:t>
      </w:r>
      <w:r w:rsidR="006837F6">
        <w:t>Ani v jednom případě nebyl n</w:t>
      </w:r>
      <w:r w:rsidR="00032919">
        <w:t>ikdo zraněn.</w:t>
      </w:r>
    </w:p>
    <w:p w:rsidR="007B1B30" w:rsidRPr="00D10485" w:rsidRDefault="007B1B30" w:rsidP="00124900">
      <w:pPr>
        <w:pStyle w:val="Nadpis2"/>
      </w:pPr>
      <w:bookmarkStart w:id="23" w:name="_Toc422823308"/>
      <w:r w:rsidRPr="00D10485">
        <w:t xml:space="preserve">Provoz </w:t>
      </w:r>
      <w:r>
        <w:t>technických</w:t>
      </w:r>
      <w:r w:rsidRPr="00D10485">
        <w:t xml:space="preserve"> zařízení</w:t>
      </w:r>
      <w:bookmarkEnd w:id="23"/>
    </w:p>
    <w:p w:rsidR="00032919" w:rsidRDefault="00032919" w:rsidP="0028418A">
      <w:r>
        <w:t>K efektivnímu a ekonomickému dobývání nerostů je nutné využívání technických zařízení, která aby byla schopna rozrušovat horský masív, nebo odolávat tlakům horského masívu</w:t>
      </w:r>
      <w:r w:rsidR="005E79D5">
        <w:t>,</w:t>
      </w:r>
      <w:r>
        <w:t xml:space="preserve"> musí mít schopnost vyvinout velké síly</w:t>
      </w:r>
      <w:r w:rsidR="00FD41FC">
        <w:t xml:space="preserve">. Takové stroje pak musí disponovat dostatečnou </w:t>
      </w:r>
      <w:r>
        <w:t>hmotnost</w:t>
      </w:r>
      <w:r w:rsidR="001330F0">
        <w:t>í</w:t>
      </w:r>
      <w:r>
        <w:t xml:space="preserve">. </w:t>
      </w:r>
      <w:r w:rsidR="00FD41FC">
        <w:t xml:space="preserve">Nadměrnou hmotností a velkými vyvíjenými silami </w:t>
      </w:r>
      <w:r>
        <w:t xml:space="preserve">se </w:t>
      </w:r>
      <w:r w:rsidR="00FD41FC">
        <w:t>taková</w:t>
      </w:r>
      <w:r>
        <w:t xml:space="preserve"> zařízení stávají potenciálním zdrojem nebezpečí</w:t>
      </w:r>
      <w:r w:rsidR="00FD41FC">
        <w:t xml:space="preserve"> jak při jejich provozu, tak při jejich údržbě, montáži nebo dopravě</w:t>
      </w:r>
      <w:r>
        <w:t>.</w:t>
      </w:r>
      <w:r w:rsidR="00C10083">
        <w:t xml:space="preserve"> Toto nebezpečí se ještě násobí v hlubinných dolech, kde je omezený manipulační prostor.</w:t>
      </w:r>
    </w:p>
    <w:p w:rsidR="00A14C50" w:rsidRDefault="00FD41FC" w:rsidP="0028418A">
      <w:r>
        <w:t>Pozitivním trendem při př</w:t>
      </w:r>
      <w:r w:rsidR="00C10083">
        <w:t>edcházení uvedeným rizikům je využívání</w:t>
      </w:r>
      <w:r>
        <w:t xml:space="preserve"> inteligentní</w:t>
      </w:r>
      <w:r w:rsidR="00C10083">
        <w:t>ch</w:t>
      </w:r>
      <w:r>
        <w:t xml:space="preserve"> řídící</w:t>
      </w:r>
      <w:r w:rsidR="00C10083">
        <w:t>ch</w:t>
      </w:r>
      <w:r>
        <w:t xml:space="preserve"> </w:t>
      </w:r>
      <w:r w:rsidR="00C10083">
        <w:br/>
      </w:r>
      <w:r>
        <w:t>a kontrolní</w:t>
      </w:r>
      <w:r w:rsidR="00C10083">
        <w:t>ch systémů</w:t>
      </w:r>
      <w:r>
        <w:t xml:space="preserve"> těchto strojů, které se ve stále větším měřítku prosazují i díky tlaku státní báňské správy</w:t>
      </w:r>
      <w:r w:rsidR="00C10083">
        <w:t>,</w:t>
      </w:r>
      <w:r>
        <w:t xml:space="preserve"> nejen ve velkých provozech, ale také při dobývání stavebních surovin. Přes vysok</w:t>
      </w:r>
      <w:r w:rsidR="00870CAF">
        <w:t>ou úroveň technického vybavení však nelze zcela eliminovat vliv náhlé změny podm</w:t>
      </w:r>
      <w:r w:rsidR="005E79D5">
        <w:t xml:space="preserve">ínek dobývání </w:t>
      </w:r>
      <w:r w:rsidR="00C10083">
        <w:br/>
      </w:r>
      <w:r w:rsidR="005E79D5">
        <w:t xml:space="preserve">a </w:t>
      </w:r>
      <w:r w:rsidR="00870CAF">
        <w:t>vliv lidského faktoru. Proto provoz technických zařízení zůstává jedním ze zásadních rizik hornické činnosti.</w:t>
      </w:r>
      <w:r w:rsidR="002E1C16">
        <w:t xml:space="preserve"> Za alarmující je možné považovat zvýšení počtu provozních nehod souvisejících </w:t>
      </w:r>
      <w:r w:rsidR="00C10083">
        <w:br/>
      </w:r>
      <w:r w:rsidR="002E1C16">
        <w:t xml:space="preserve">s provozem strojních a elektrických zařízení. V roce 2014 došlo k 9 událostem, přičemž v roce 2013 </w:t>
      </w:r>
      <w:r w:rsidR="002E1C16">
        <w:lastRenderedPageBreak/>
        <w:t>k žádné. V této oblasti přijala státní báňská správa opatření spočívající v zintenzivnění dozoru v této oblasti v roce 2015.</w:t>
      </w:r>
    </w:p>
    <w:p w:rsidR="002D16D0" w:rsidRPr="00D10485" w:rsidRDefault="002D16D0" w:rsidP="00124900">
      <w:pPr>
        <w:pStyle w:val="Nadpis1"/>
      </w:pPr>
      <w:bookmarkStart w:id="24" w:name="_Toc422823309"/>
      <w:r w:rsidRPr="00D10485">
        <w:t>SOUTĚŽ ZA BEZPEČNOST V HORNICTVÍ – ZLATÝ PERMON</w:t>
      </w:r>
      <w:bookmarkEnd w:id="24"/>
    </w:p>
    <w:p w:rsidR="00733F93" w:rsidRDefault="00DD4E36" w:rsidP="0028418A">
      <w:pPr>
        <w:pStyle w:val="Zkladntextodsazen"/>
      </w:pPr>
      <w:r w:rsidRPr="00D10485">
        <w:t>ČBÚ</w:t>
      </w:r>
      <w:r w:rsidR="002D16D0" w:rsidRPr="00D10485">
        <w:t xml:space="preserve"> od roku 2002 pravidelně oceňuje organizace</w:t>
      </w:r>
      <w:r w:rsidR="009E7F5A" w:rsidRPr="00D10485">
        <w:t xml:space="preserve"> „Cenou za bezpeč</w:t>
      </w:r>
      <w:r w:rsidRPr="00D10485">
        <w:t>nost v hornictví – Zlatý Permon</w:t>
      </w:r>
      <w:r w:rsidR="009E7F5A" w:rsidRPr="00D10485">
        <w:t>“</w:t>
      </w:r>
      <w:r w:rsidR="00BC405D" w:rsidRPr="00D10485">
        <w:t xml:space="preserve">. </w:t>
      </w:r>
      <w:r w:rsidR="002C06A0" w:rsidRPr="00D10485">
        <w:t>Tato c</w:t>
      </w:r>
      <w:r w:rsidR="00BC405D" w:rsidRPr="00D10485">
        <w:t xml:space="preserve">ena se propůjčuje a uděluje subjektům podléhajícím dozoru </w:t>
      </w:r>
      <w:r w:rsidR="00592A0C">
        <w:t>SBS</w:t>
      </w:r>
      <w:r w:rsidR="00BC405D" w:rsidRPr="00D10485">
        <w:t xml:space="preserve"> jako projev uznání za dosažení vynikajících výsledků v oblasti bezpečnosti práce. Cena je zřízena ČBÚ, O</w:t>
      </w:r>
      <w:r w:rsidR="00592A0C">
        <w:t xml:space="preserve">S PHGN </w:t>
      </w:r>
      <w:r w:rsidR="00BC405D" w:rsidRPr="00D10485">
        <w:t>a O</w:t>
      </w:r>
      <w:r w:rsidR="00592A0C">
        <w:t xml:space="preserve">S </w:t>
      </w:r>
      <w:r w:rsidR="00BC405D" w:rsidRPr="00D10485">
        <w:t>Stavba ČR,</w:t>
      </w:r>
      <w:r w:rsidR="00BB4300">
        <w:t xml:space="preserve"> </w:t>
      </w:r>
      <w:r w:rsidR="00BC405D" w:rsidRPr="00D10485">
        <w:t xml:space="preserve">pro subjekty, které podléhají dozoru </w:t>
      </w:r>
      <w:r w:rsidR="00592A0C">
        <w:t>SBS</w:t>
      </w:r>
      <w:r w:rsidR="00BC405D" w:rsidRPr="00D10485">
        <w:t xml:space="preserve">. </w:t>
      </w:r>
      <w:r w:rsidR="00F248FC">
        <w:t xml:space="preserve">Cena se za dobu své existence stala mezi organizacemi </w:t>
      </w:r>
      <w:r w:rsidR="0057330F">
        <w:t>prestižní</w:t>
      </w:r>
      <w:r w:rsidR="00F248FC">
        <w:t xml:space="preserve"> a je jedním z motivů zvyšování úrovně bezpečnosti práce. </w:t>
      </w:r>
      <w:r w:rsidR="0084499F" w:rsidRPr="00D10485">
        <w:t>Ceny jsou u</w:t>
      </w:r>
      <w:r w:rsidR="001330F0">
        <w:t>dělovány v pěti</w:t>
      </w:r>
      <w:r w:rsidR="00F45113" w:rsidRPr="00D10485">
        <w:t xml:space="preserve"> </w:t>
      </w:r>
      <w:r w:rsidR="0084499F" w:rsidRPr="00D10485">
        <w:t>kategoriích</w:t>
      </w:r>
      <w:r w:rsidR="00F248FC">
        <w:t xml:space="preserve"> uvedených v tabulce</w:t>
      </w:r>
      <w:r w:rsidR="00F45113" w:rsidRPr="00D10485">
        <w:t xml:space="preserve"> č. </w:t>
      </w:r>
      <w:r w:rsidR="00827F5A">
        <w:t>10</w:t>
      </w:r>
      <w:r w:rsidR="0084499F" w:rsidRPr="00D10485">
        <w:t>.</w:t>
      </w:r>
    </w:p>
    <w:p w:rsidR="002D16D0" w:rsidRPr="00124900" w:rsidRDefault="002D16D0" w:rsidP="00124900">
      <w:pPr>
        <w:ind w:left="1560" w:hanging="1560"/>
        <w:jc w:val="left"/>
        <w:rPr>
          <w:rStyle w:val="Nzevknihy"/>
        </w:rPr>
      </w:pPr>
      <w:r w:rsidRPr="00124900">
        <w:rPr>
          <w:rStyle w:val="Nzevknihy"/>
        </w:rPr>
        <w:t xml:space="preserve">Tabulka č. </w:t>
      </w:r>
      <w:r w:rsidR="00827F5A" w:rsidRPr="00124900">
        <w:rPr>
          <w:rStyle w:val="Nzevknihy"/>
        </w:rPr>
        <w:t>10</w:t>
      </w:r>
      <w:r w:rsidR="0084499F" w:rsidRPr="00124900">
        <w:rPr>
          <w:rStyle w:val="Nzevknihy"/>
        </w:rPr>
        <w:t xml:space="preserve"> - </w:t>
      </w:r>
      <w:r w:rsidR="00124900">
        <w:rPr>
          <w:rStyle w:val="Nzevknihy"/>
        </w:rPr>
        <w:t>P</w:t>
      </w:r>
      <w:r w:rsidR="0084499F" w:rsidRPr="00124900">
        <w:rPr>
          <w:rStyle w:val="Nzevknihy"/>
        </w:rPr>
        <w:t>řehled vítězů jednotlivých kategorií so</w:t>
      </w:r>
      <w:r w:rsidR="00131560" w:rsidRPr="00124900">
        <w:rPr>
          <w:rStyle w:val="Nzevknihy"/>
        </w:rPr>
        <w:t>utěže „Zlatý Permon“ za rok 20</w:t>
      </w:r>
      <w:r w:rsidR="00D12677" w:rsidRPr="00124900">
        <w:rPr>
          <w:rStyle w:val="Nzevknihy"/>
        </w:rPr>
        <w:t>1</w:t>
      </w:r>
      <w:r w:rsidR="004B4A6F" w:rsidRPr="00124900">
        <w:rPr>
          <w:rStyle w:val="Nzevknihy"/>
        </w:rPr>
        <w:t>4</w:t>
      </w: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70"/>
        <w:gridCol w:w="2123"/>
        <w:gridCol w:w="2153"/>
        <w:gridCol w:w="2238"/>
        <w:gridCol w:w="1995"/>
      </w:tblGrid>
      <w:tr w:rsidR="009B06D5" w:rsidRPr="00827F5A" w:rsidTr="00124900">
        <w:trPr>
          <w:trHeight w:val="533"/>
          <w:jc w:val="center"/>
        </w:trPr>
        <w:tc>
          <w:tcPr>
            <w:tcW w:w="1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8723E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I. kategorie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8723E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II. kategorie</w:t>
            </w:r>
          </w:p>
        </w:tc>
        <w:tc>
          <w:tcPr>
            <w:tcW w:w="2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8723E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III. kategorie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8723E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IV. kategorie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8723E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V. kategorie</w:t>
            </w:r>
          </w:p>
        </w:tc>
      </w:tr>
      <w:tr w:rsidR="009B06D5" w:rsidRPr="004403E9" w:rsidTr="00124900">
        <w:trPr>
          <w:trHeight w:val="815"/>
          <w:jc w:val="center"/>
        </w:trPr>
        <w:tc>
          <w:tcPr>
            <w:tcW w:w="1970" w:type="dxa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hornická činnost prováděná hlubinným způsobem – hlubinný důl</w:t>
            </w:r>
          </w:p>
        </w:tc>
        <w:tc>
          <w:tcPr>
            <w:tcW w:w="2123" w:type="dxa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hornická činnost prováděná povrchovým způsobem – uhelný lom</w:t>
            </w:r>
          </w:p>
        </w:tc>
        <w:tc>
          <w:tcPr>
            <w:tcW w:w="2153" w:type="dxa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hornická činnost prováděná povrchovým způsobem – lom, těžba písku nebo štěrkopísku</w:t>
            </w:r>
            <w:r w:rsidR="00124900">
              <w:rPr>
                <w:sz w:val="22"/>
                <w:szCs w:val="22"/>
              </w:rPr>
              <w:br/>
            </w:r>
            <w:r w:rsidRPr="00124900">
              <w:rPr>
                <w:sz w:val="22"/>
                <w:szCs w:val="22"/>
              </w:rPr>
              <w:t>(subjekt s alespoň</w:t>
            </w:r>
            <w:r w:rsidRPr="00124900">
              <w:rPr>
                <w:sz w:val="22"/>
                <w:szCs w:val="22"/>
              </w:rPr>
              <w:br/>
              <w:t xml:space="preserve"> 51 zaměstnanci)</w:t>
            </w:r>
          </w:p>
        </w:tc>
        <w:tc>
          <w:tcPr>
            <w:tcW w:w="2238" w:type="dxa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činnost prováděná hornickým způsobem, včetně těžby ropy</w:t>
            </w:r>
            <w:r w:rsidR="00124900">
              <w:rPr>
                <w:sz w:val="22"/>
                <w:szCs w:val="22"/>
              </w:rPr>
              <w:br/>
            </w:r>
            <w:r w:rsidRPr="00124900">
              <w:rPr>
                <w:sz w:val="22"/>
                <w:szCs w:val="22"/>
              </w:rPr>
              <w:t xml:space="preserve">(subjekt s alespoň </w:t>
            </w:r>
            <w:r w:rsidRPr="00124900">
              <w:rPr>
                <w:sz w:val="22"/>
                <w:szCs w:val="22"/>
              </w:rPr>
              <w:br/>
              <w:t>51 zaměstnanci)</w:t>
            </w:r>
          </w:p>
        </w:tc>
        <w:tc>
          <w:tcPr>
            <w:tcW w:w="1995" w:type="dxa"/>
          </w:tcPr>
          <w:p w:rsidR="009B06D5" w:rsidRPr="00124900" w:rsidRDefault="009B06D5" w:rsidP="00124900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hornická činnost nebo činnost prováděná hornickým způsobem</w:t>
            </w:r>
            <w:r w:rsidR="00124900">
              <w:rPr>
                <w:sz w:val="22"/>
                <w:szCs w:val="22"/>
              </w:rPr>
              <w:br/>
            </w:r>
            <w:r w:rsidRPr="00124900">
              <w:rPr>
                <w:sz w:val="22"/>
                <w:szCs w:val="22"/>
              </w:rPr>
              <w:t xml:space="preserve">(subjekt s nejvýše </w:t>
            </w:r>
            <w:r w:rsidRPr="00124900">
              <w:rPr>
                <w:sz w:val="22"/>
                <w:szCs w:val="22"/>
              </w:rPr>
              <w:br/>
              <w:t>50 zaměstnanci)</w:t>
            </w:r>
          </w:p>
        </w:tc>
      </w:tr>
      <w:tr w:rsidR="009B06D5" w:rsidRPr="004B4A6F" w:rsidTr="00124900">
        <w:trPr>
          <w:trHeight w:val="815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06D5" w:rsidRPr="00124900" w:rsidRDefault="009B06D5" w:rsidP="00124900">
            <w:pPr>
              <w:pStyle w:val="Zkladntext"/>
              <w:ind w:firstLine="0"/>
              <w:jc w:val="center"/>
              <w:rPr>
                <w:sz w:val="22"/>
                <w:szCs w:val="22"/>
                <w:highlight w:val="cyan"/>
              </w:rPr>
            </w:pPr>
            <w:r w:rsidRPr="00124900">
              <w:rPr>
                <w:sz w:val="22"/>
                <w:szCs w:val="22"/>
              </w:rPr>
              <w:t xml:space="preserve">DIAMO, </w:t>
            </w:r>
            <w:proofErr w:type="gramStart"/>
            <w:r w:rsidRPr="00124900">
              <w:rPr>
                <w:sz w:val="22"/>
                <w:szCs w:val="22"/>
              </w:rPr>
              <w:t>s.p.</w:t>
            </w:r>
            <w:proofErr w:type="gramEnd"/>
            <w:r w:rsidR="00124900" w:rsidRPr="00124900">
              <w:rPr>
                <w:sz w:val="22"/>
                <w:szCs w:val="22"/>
              </w:rPr>
              <w:br/>
            </w:r>
            <w:r w:rsidRPr="00124900">
              <w:rPr>
                <w:sz w:val="22"/>
                <w:szCs w:val="22"/>
              </w:rPr>
              <w:t>odštěpný závod GEAM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06D5" w:rsidRPr="00124900" w:rsidRDefault="009B06D5" w:rsidP="00124900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Severočeské doly a.s., lom Doly Nástup Tušimice</w:t>
            </w:r>
          </w:p>
          <w:p w:rsidR="009B06D5" w:rsidRPr="00124900" w:rsidRDefault="009B06D5" w:rsidP="00124900">
            <w:pPr>
              <w:ind w:firstLine="0"/>
              <w:jc w:val="center"/>
              <w:rPr>
                <w:sz w:val="22"/>
                <w:szCs w:val="22"/>
                <w:highlight w:val="cyan"/>
                <w:lang w:eastAsia="zh-C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06D5" w:rsidRPr="00124900" w:rsidRDefault="009B06D5" w:rsidP="00124900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Provodínské písky a.s.</w:t>
            </w:r>
          </w:p>
          <w:p w:rsidR="009B06D5" w:rsidRPr="00124900" w:rsidRDefault="009B06D5" w:rsidP="00124900">
            <w:pPr>
              <w:ind w:firstLine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06D5" w:rsidRPr="00124900" w:rsidRDefault="009B06D5" w:rsidP="00124900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 w:rsidRPr="00124900">
              <w:rPr>
                <w:sz w:val="22"/>
                <w:szCs w:val="22"/>
              </w:rPr>
              <w:t>LAMA GAS &amp; OIL s.r.o.</w:t>
            </w:r>
          </w:p>
          <w:p w:rsidR="009B06D5" w:rsidRPr="00124900" w:rsidRDefault="009B06D5" w:rsidP="00124900">
            <w:pPr>
              <w:ind w:firstLine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06D5" w:rsidRPr="00124900" w:rsidRDefault="008F272C" w:rsidP="00124900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VÁPENKA VITOUL</w:t>
            </w:r>
            <w:r w:rsidR="009B06D5" w:rsidRPr="00124900">
              <w:rPr>
                <w:sz w:val="22"/>
                <w:szCs w:val="22"/>
              </w:rPr>
              <w:t xml:space="preserve"> s.r.o.</w:t>
            </w:r>
          </w:p>
        </w:tc>
      </w:tr>
    </w:tbl>
    <w:p w:rsidR="006F6C5F" w:rsidRDefault="006F6C5F" w:rsidP="006F6C5F">
      <w:pPr>
        <w:rPr>
          <w:sz w:val="28"/>
          <w:szCs w:val="28"/>
        </w:rPr>
      </w:pPr>
      <w:r>
        <w:br w:type="page"/>
      </w:r>
    </w:p>
    <w:p w:rsidR="007E35BE" w:rsidRPr="00D10485" w:rsidRDefault="007E35BE" w:rsidP="00124900">
      <w:pPr>
        <w:pStyle w:val="Nadpis1"/>
      </w:pPr>
      <w:bookmarkStart w:id="25" w:name="_Toc422823310"/>
      <w:r w:rsidRPr="00D10485">
        <w:lastRenderedPageBreak/>
        <w:t>ZÁVĚR</w:t>
      </w:r>
      <w:bookmarkEnd w:id="25"/>
    </w:p>
    <w:p w:rsidR="00A54B0A" w:rsidRDefault="00A54B0A" w:rsidP="0028418A">
      <w:r>
        <w:t>Počet úrazů v roce 2014 v organizacích dozorovaných státní báňskou správou tj. 604, byl podobný jako v roce předchozím tj. 608, a přestože v absolutním počtu byl nejnižší za posledních deset let</w:t>
      </w:r>
      <w:r w:rsidR="003B5CBF">
        <w:t>,</w:t>
      </w:r>
      <w:r>
        <w:t xml:space="preserve"> nelze hovořit o zlepšení, ale spíše o pozitivní stabilizaci stavu. Svědčí o vysoké úrovni bezpečnosti práce v dozorovaných org</w:t>
      </w:r>
      <w:r w:rsidR="00553A89">
        <w:t xml:space="preserve">anizacích, která je i výsledkem </w:t>
      </w:r>
      <w:r w:rsidR="00B2729A">
        <w:t>intenzivního</w:t>
      </w:r>
      <w:r w:rsidR="00553A89">
        <w:t xml:space="preserve"> výkonu dozoru</w:t>
      </w:r>
      <w:r>
        <w:t xml:space="preserve"> státní báňské správy.</w:t>
      </w:r>
    </w:p>
    <w:p w:rsidR="00A54B0A" w:rsidRDefault="006C4724" w:rsidP="0028418A">
      <w:r w:rsidRPr="006C4724">
        <w:t xml:space="preserve">Přes tento pozitivní vývoj došlo v roce 2013 k nárůstu počtu smrtelných úrazů ze čtyř na jedenáct. Velký podíl na tom má hromadný smrtelný úraz tří osob při důlním otřesu v ostravsko-karvinském revíru. Meziroční nárůst počtu smrtelných úrazů však není trendem, ale potvrzením faktu, že hornická činnost zůstává jednou z nejrizikovějších činností, při které i malé pochybení může mít fatální následky, </w:t>
      </w:r>
      <w:r>
        <w:t xml:space="preserve">zejména </w:t>
      </w:r>
      <w:r w:rsidRPr="006C4724">
        <w:t xml:space="preserve">z důvodu těžkých podmínek, které se navíc často mění. O tom svědčí </w:t>
      </w:r>
      <w:r w:rsidR="003B5CBF">
        <w:br/>
      </w:r>
      <w:r w:rsidRPr="006C4724">
        <w:t xml:space="preserve">i nejčastější příčiny smrtelných úrazů, kterými jsou nepředvídatelné riziko práce a selhání lidského </w:t>
      </w:r>
      <w:r w:rsidR="00D73766">
        <w:t>činitele</w:t>
      </w:r>
      <w:r w:rsidRPr="006C4724">
        <w:t xml:space="preserve">. Nárůst počtu smrtelných úrazů také svědčí o faktu, že počet smrtelných úrazů se </w:t>
      </w:r>
      <w:r w:rsidR="00602833">
        <w:t xml:space="preserve">v minulosti </w:t>
      </w:r>
      <w:r w:rsidRPr="006C4724">
        <w:t>přiblížil své minimální hodnotě a zřejmě bude, jako už několikrát v posledních letech</w:t>
      </w:r>
      <w:r w:rsidR="003B5CBF">
        <w:t>,</w:t>
      </w:r>
      <w:r w:rsidRPr="006C4724">
        <w:t xml:space="preserve"> kolísat. S tímto konstatováním se však nelze smířit</w:t>
      </w:r>
      <w:r w:rsidR="00D86987">
        <w:t>,</w:t>
      </w:r>
      <w:r w:rsidRPr="006C4724">
        <w:t xml:space="preserve"> a proto jedním z trvalých úkolů státní báňské správy je nepolevovat v dozorové činnosti, ani při pozitivním vývoji celkové úrazovosti.</w:t>
      </w:r>
    </w:p>
    <w:p w:rsidR="00A54B0A" w:rsidRDefault="00A54B0A" w:rsidP="0028418A">
      <w:r>
        <w:t>Jako nejvíc rizikové z dozorovaných činností zůstávají na základě statistik úrazovosti a počtu mimořádných událostí hlubinné dobývání černého i hnědého uhlí a povrchové dobývání hnědého uhlí.</w:t>
      </w:r>
    </w:p>
    <w:p w:rsidR="00A54B0A" w:rsidRDefault="00A54B0A" w:rsidP="0028418A">
      <w:r>
        <w:t xml:space="preserve">Obdobný jako v předchozích letech je i počet mimořádných událostí při dozorovaných činnostech. Stále </w:t>
      </w:r>
      <w:r w:rsidR="00D86987">
        <w:t>jim</w:t>
      </w:r>
      <w:r>
        <w:t xml:space="preserve"> dominují důlní požáry způsobené samovznícením uhlí a dále důlní otřesy. Oba typy havárií přímo souvisí s charakterem prostředí, ve kterém se zejména hlubinné dobývání uhlí provádí </w:t>
      </w:r>
      <w:r w:rsidR="00D86987">
        <w:br/>
      </w:r>
      <w:r>
        <w:t>a nebude je možné ani do budoucna zcela vyloučit přes zvyšující se stupeň poznání jejich příčin. V této oblasti je situace obdobná jako v</w:t>
      </w:r>
      <w:r w:rsidR="007F1613">
        <w:t> </w:t>
      </w:r>
      <w:r>
        <w:t>zahraničí</w:t>
      </w:r>
      <w:r w:rsidR="007F1613">
        <w:t xml:space="preserve">. </w:t>
      </w:r>
      <w:r w:rsidR="00D86987">
        <w:t>České hornictví</w:t>
      </w:r>
      <w:r>
        <w:t xml:space="preserve"> patří při předcházení těmto nebezpečím k evropské a světové špičce. Za alarmující je možné považovat zvýšení počtu provozních nehod souvisejících s provozem strojních a elektrických zařízení</w:t>
      </w:r>
      <w:r w:rsidR="002E1C16">
        <w:t>.</w:t>
      </w:r>
      <w:r>
        <w:t xml:space="preserve"> </w:t>
      </w:r>
      <w:r w:rsidR="002E1C16">
        <w:t>V roce 2014 došlo k 9 událostem, přičemž v roce 2013 k žádné.</w:t>
      </w:r>
      <w:r>
        <w:t xml:space="preserve"> V této oblasti přijala státní báňská správa opatření spočívající v zintenzivnění dozoru v této oblasti v roce 2015.</w:t>
      </w:r>
    </w:p>
    <w:p w:rsidR="00A54B0A" w:rsidRDefault="00A54B0A" w:rsidP="0028418A">
      <w:r>
        <w:t xml:space="preserve">V oblasti nakládání s výbušninami nebylo v roce 2014 zjišťováno závažnějších pochybení </w:t>
      </w:r>
      <w:r w:rsidR="00950C11">
        <w:br/>
      </w:r>
      <w:r>
        <w:t>u dozorovaných organizací. V této oblasti je stabilní vývoj i v počtu mimořádných událostí.</w:t>
      </w:r>
      <w:r w:rsidR="00950C11">
        <w:t xml:space="preserve"> </w:t>
      </w:r>
      <w:r w:rsidR="00232DE6" w:rsidRPr="00232DE6">
        <w:t>Stabilní je také vysoká intenzita dozoru státní báňské správy v této oblasti.</w:t>
      </w:r>
    </w:p>
    <w:p w:rsidR="00A54B0A" w:rsidRDefault="00A54B0A" w:rsidP="0028418A">
      <w:r>
        <w:t xml:space="preserve">V ostatních dozorovaných činnostech jako je ražba tunelů, kolektorů, studní a ostatních objektů </w:t>
      </w:r>
      <w:r w:rsidR="00950C11">
        <w:br/>
      </w:r>
      <w:r>
        <w:t>a provoz podzemních objektů nebyly v roce 2014 zjišťovány zásadní problémy, ani nebyly hlášeny žádné mimořádné události.</w:t>
      </w:r>
    </w:p>
    <w:sectPr w:rsidR="00A54B0A" w:rsidSect="00385071">
      <w:footerReference w:type="default" r:id="rId15"/>
      <w:pgSz w:w="11907" w:h="16840"/>
      <w:pgMar w:top="993" w:right="992" w:bottom="993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41" w:rsidRDefault="00D27541" w:rsidP="0028418A">
      <w:r>
        <w:separator/>
      </w:r>
    </w:p>
  </w:endnote>
  <w:endnote w:type="continuationSeparator" w:id="0">
    <w:p w:rsidR="00D27541" w:rsidRDefault="00D27541" w:rsidP="0028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F4" w:rsidRDefault="00537D08" w:rsidP="0028418A">
    <w:pPr>
      <w:pStyle w:val="Zpat"/>
      <w:rPr>
        <w:rStyle w:val="slostrnky"/>
      </w:rPr>
    </w:pPr>
    <w:r>
      <w:rPr>
        <w:rStyle w:val="slostrnky"/>
      </w:rPr>
      <w:fldChar w:fldCharType="begin"/>
    </w:r>
    <w:r w:rsidR="001D4DF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6056">
      <w:rPr>
        <w:rStyle w:val="slostrnky"/>
        <w:noProof/>
      </w:rPr>
      <w:t>22</w:t>
    </w:r>
    <w:r>
      <w:rPr>
        <w:rStyle w:val="slostrnky"/>
      </w:rPr>
      <w:fldChar w:fldCharType="end"/>
    </w:r>
  </w:p>
  <w:p w:rsidR="001D4DF4" w:rsidRDefault="001D4DF4" w:rsidP="0028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41" w:rsidRDefault="00D27541" w:rsidP="0028418A">
      <w:r>
        <w:separator/>
      </w:r>
    </w:p>
  </w:footnote>
  <w:footnote w:type="continuationSeparator" w:id="0">
    <w:p w:rsidR="00D27541" w:rsidRDefault="00D27541" w:rsidP="0028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B12"/>
    <w:multiLevelType w:val="hybridMultilevel"/>
    <w:tmpl w:val="DA22C4A6"/>
    <w:lvl w:ilvl="0" w:tplc="04050001">
      <w:start w:val="4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15B2"/>
    <w:multiLevelType w:val="hybridMultilevel"/>
    <w:tmpl w:val="73D642D6"/>
    <w:lvl w:ilvl="0" w:tplc="02A867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A4389"/>
    <w:multiLevelType w:val="hybridMultilevel"/>
    <w:tmpl w:val="5E568CC8"/>
    <w:lvl w:ilvl="0" w:tplc="77824A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B88A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26A9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D258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4603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6E3C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2AA2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5E83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7E07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2E527CC"/>
    <w:multiLevelType w:val="hybridMultilevel"/>
    <w:tmpl w:val="EB582232"/>
    <w:lvl w:ilvl="0" w:tplc="647C8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FCE"/>
    <w:multiLevelType w:val="multilevel"/>
    <w:tmpl w:val="94C0F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0D2D34"/>
    <w:multiLevelType w:val="hybridMultilevel"/>
    <w:tmpl w:val="D92AB62E"/>
    <w:lvl w:ilvl="0" w:tplc="8998F9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8E68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8AC3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482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02CF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CAB0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68BA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5628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989F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42B5C51"/>
    <w:multiLevelType w:val="hybridMultilevel"/>
    <w:tmpl w:val="AE4AF3D4"/>
    <w:lvl w:ilvl="0" w:tplc="F57C526A">
      <w:start w:val="3"/>
      <w:numFmt w:val="decimal"/>
      <w:lvlText w:val="%1. 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49DC"/>
    <w:multiLevelType w:val="hybridMultilevel"/>
    <w:tmpl w:val="61E4DAB4"/>
    <w:lvl w:ilvl="0" w:tplc="83889CA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DC"/>
    <w:multiLevelType w:val="hybridMultilevel"/>
    <w:tmpl w:val="6A18A4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3D70F8"/>
    <w:multiLevelType w:val="hybridMultilevel"/>
    <w:tmpl w:val="58588314"/>
    <w:lvl w:ilvl="0" w:tplc="83889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0AF84">
      <w:start w:val="175"/>
      <w:numFmt w:val="bullet"/>
      <w:lvlText w:val="-"/>
      <w:lvlJc w:val="left"/>
      <w:pPr>
        <w:ind w:left="1530" w:hanging="45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5E5D"/>
    <w:multiLevelType w:val="hybridMultilevel"/>
    <w:tmpl w:val="A4280B40"/>
    <w:lvl w:ilvl="0" w:tplc="F57C526A">
      <w:start w:val="3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56EED"/>
    <w:multiLevelType w:val="hybridMultilevel"/>
    <w:tmpl w:val="9FAAC8D4"/>
    <w:lvl w:ilvl="0" w:tplc="83889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B3876"/>
    <w:multiLevelType w:val="hybridMultilevel"/>
    <w:tmpl w:val="624C8380"/>
    <w:lvl w:ilvl="0" w:tplc="0405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F0E13"/>
    <w:multiLevelType w:val="hybridMultilevel"/>
    <w:tmpl w:val="35460DFC"/>
    <w:lvl w:ilvl="0" w:tplc="013C9F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C966DD"/>
    <w:multiLevelType w:val="multilevel"/>
    <w:tmpl w:val="C346E7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C6524F4"/>
    <w:multiLevelType w:val="hybridMultilevel"/>
    <w:tmpl w:val="C05AF880"/>
    <w:lvl w:ilvl="0" w:tplc="83889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1135A"/>
    <w:multiLevelType w:val="hybridMultilevel"/>
    <w:tmpl w:val="2540844A"/>
    <w:lvl w:ilvl="0" w:tplc="F57C526A">
      <w:start w:val="3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C50AB"/>
    <w:multiLevelType w:val="hybridMultilevel"/>
    <w:tmpl w:val="F1CA6708"/>
    <w:lvl w:ilvl="0" w:tplc="83889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44346"/>
    <w:multiLevelType w:val="hybridMultilevel"/>
    <w:tmpl w:val="781431EA"/>
    <w:lvl w:ilvl="0" w:tplc="0405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39CA"/>
    <w:multiLevelType w:val="hybridMultilevel"/>
    <w:tmpl w:val="F55427C0"/>
    <w:lvl w:ilvl="0" w:tplc="647C8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021316"/>
    <w:multiLevelType w:val="multilevel"/>
    <w:tmpl w:val="BBEAA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B916A9"/>
    <w:multiLevelType w:val="multilevel"/>
    <w:tmpl w:val="06E2490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5EE4BD5"/>
    <w:multiLevelType w:val="hybridMultilevel"/>
    <w:tmpl w:val="93140CFC"/>
    <w:lvl w:ilvl="0" w:tplc="14520C5C">
      <w:start w:val="43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A5231B"/>
    <w:multiLevelType w:val="hybridMultilevel"/>
    <w:tmpl w:val="7C1CBA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868A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B921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2B1F5F"/>
    <w:multiLevelType w:val="hybridMultilevel"/>
    <w:tmpl w:val="921E1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71741"/>
    <w:multiLevelType w:val="hybridMultilevel"/>
    <w:tmpl w:val="08842228"/>
    <w:lvl w:ilvl="0" w:tplc="926497E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DC4CF9"/>
    <w:multiLevelType w:val="hybridMultilevel"/>
    <w:tmpl w:val="6AACCE2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12C1A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8B2EE1"/>
    <w:multiLevelType w:val="hybridMultilevel"/>
    <w:tmpl w:val="B8B0B62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46136C7"/>
    <w:multiLevelType w:val="hybridMultilevel"/>
    <w:tmpl w:val="525891C8"/>
    <w:lvl w:ilvl="0" w:tplc="83889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65455"/>
    <w:multiLevelType w:val="singleLevel"/>
    <w:tmpl w:val="F57C526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32" w15:restartNumberingAfterBreak="0">
    <w:nsid w:val="6A7C6A7F"/>
    <w:multiLevelType w:val="multilevel"/>
    <w:tmpl w:val="C62622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2B7BD1"/>
    <w:multiLevelType w:val="hybridMultilevel"/>
    <w:tmpl w:val="3B36F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C9081B"/>
    <w:multiLevelType w:val="multilevel"/>
    <w:tmpl w:val="5406E6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DA3439"/>
    <w:multiLevelType w:val="hybridMultilevel"/>
    <w:tmpl w:val="53D6A362"/>
    <w:lvl w:ilvl="0" w:tplc="83889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13AB0"/>
    <w:multiLevelType w:val="hybridMultilevel"/>
    <w:tmpl w:val="56BA8CE4"/>
    <w:lvl w:ilvl="0" w:tplc="74AC56E8">
      <w:start w:val="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7E7"/>
    <w:multiLevelType w:val="hybridMultilevel"/>
    <w:tmpl w:val="4BB24402"/>
    <w:lvl w:ilvl="0" w:tplc="0405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74B5267"/>
    <w:multiLevelType w:val="hybridMultilevel"/>
    <w:tmpl w:val="794E494A"/>
    <w:lvl w:ilvl="0" w:tplc="74AC56E8">
      <w:start w:val="2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6D5607"/>
    <w:multiLevelType w:val="hybridMultilevel"/>
    <w:tmpl w:val="47889AE6"/>
    <w:lvl w:ilvl="0" w:tplc="F57C526A">
      <w:start w:val="3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00EE2"/>
    <w:multiLevelType w:val="hybridMultilevel"/>
    <w:tmpl w:val="CAA470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6"/>
  </w:num>
  <w:num w:numId="4">
    <w:abstractNumId w:val="15"/>
  </w:num>
  <w:num w:numId="5">
    <w:abstractNumId w:val="35"/>
  </w:num>
  <w:num w:numId="6">
    <w:abstractNumId w:val="11"/>
  </w:num>
  <w:num w:numId="7">
    <w:abstractNumId w:val="17"/>
  </w:num>
  <w:num w:numId="8">
    <w:abstractNumId w:val="9"/>
  </w:num>
  <w:num w:numId="9">
    <w:abstractNumId w:val="30"/>
  </w:num>
  <w:num w:numId="10">
    <w:abstractNumId w:val="13"/>
  </w:num>
  <w:num w:numId="11">
    <w:abstractNumId w:val="37"/>
  </w:num>
  <w:num w:numId="12">
    <w:abstractNumId w:val="18"/>
  </w:num>
  <w:num w:numId="13">
    <w:abstractNumId w:val="12"/>
  </w:num>
  <w:num w:numId="14">
    <w:abstractNumId w:val="29"/>
  </w:num>
  <w:num w:numId="15">
    <w:abstractNumId w:val="34"/>
  </w:num>
  <w:num w:numId="16">
    <w:abstractNumId w:val="24"/>
  </w:num>
  <w:num w:numId="17">
    <w:abstractNumId w:val="39"/>
  </w:num>
  <w:num w:numId="18">
    <w:abstractNumId w:val="16"/>
  </w:num>
  <w:num w:numId="19">
    <w:abstractNumId w:val="10"/>
  </w:num>
  <w:num w:numId="20">
    <w:abstractNumId w:val="1"/>
  </w:num>
  <w:num w:numId="21">
    <w:abstractNumId w:val="28"/>
  </w:num>
  <w:num w:numId="22">
    <w:abstractNumId w:val="40"/>
  </w:num>
  <w:num w:numId="23">
    <w:abstractNumId w:val="32"/>
  </w:num>
  <w:num w:numId="24">
    <w:abstractNumId w:val="6"/>
  </w:num>
  <w:num w:numId="25">
    <w:abstractNumId w:val="33"/>
  </w:num>
  <w:num w:numId="26">
    <w:abstractNumId w:val="0"/>
  </w:num>
  <w:num w:numId="27">
    <w:abstractNumId w:val="22"/>
  </w:num>
  <w:num w:numId="28">
    <w:abstractNumId w:val="2"/>
  </w:num>
  <w:num w:numId="29">
    <w:abstractNumId w:val="5"/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3"/>
  </w:num>
  <w:num w:numId="34">
    <w:abstractNumId w:val="38"/>
  </w:num>
  <w:num w:numId="35">
    <w:abstractNumId w:val="36"/>
  </w:num>
  <w:num w:numId="36">
    <w:abstractNumId w:val="7"/>
  </w:num>
  <w:num w:numId="37">
    <w:abstractNumId w:val="14"/>
  </w:num>
  <w:num w:numId="38">
    <w:abstractNumId w:val="4"/>
  </w:num>
  <w:num w:numId="39">
    <w:abstractNumId w:val="21"/>
  </w:num>
  <w:num w:numId="40">
    <w:abstractNumId w:val="27"/>
  </w:num>
  <w:num w:numId="41">
    <w:abstractNumId w:val="8"/>
  </w:num>
  <w:num w:numId="42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BE"/>
    <w:rsid w:val="00001026"/>
    <w:rsid w:val="00001C87"/>
    <w:rsid w:val="00004802"/>
    <w:rsid w:val="00005FFE"/>
    <w:rsid w:val="000067D7"/>
    <w:rsid w:val="00007228"/>
    <w:rsid w:val="00010094"/>
    <w:rsid w:val="00010265"/>
    <w:rsid w:val="00011273"/>
    <w:rsid w:val="00013A3B"/>
    <w:rsid w:val="0001482B"/>
    <w:rsid w:val="00014D4D"/>
    <w:rsid w:val="00014E7F"/>
    <w:rsid w:val="00015E01"/>
    <w:rsid w:val="00017208"/>
    <w:rsid w:val="00021025"/>
    <w:rsid w:val="0002406E"/>
    <w:rsid w:val="00025496"/>
    <w:rsid w:val="00027104"/>
    <w:rsid w:val="00027FB8"/>
    <w:rsid w:val="000308AC"/>
    <w:rsid w:val="00032890"/>
    <w:rsid w:val="000328BE"/>
    <w:rsid w:val="00032919"/>
    <w:rsid w:val="0003345E"/>
    <w:rsid w:val="00033925"/>
    <w:rsid w:val="00036BCA"/>
    <w:rsid w:val="000378CB"/>
    <w:rsid w:val="00037ABD"/>
    <w:rsid w:val="00040D60"/>
    <w:rsid w:val="00041DF1"/>
    <w:rsid w:val="00042FF1"/>
    <w:rsid w:val="00043CD0"/>
    <w:rsid w:val="00045D92"/>
    <w:rsid w:val="00046E01"/>
    <w:rsid w:val="0004799A"/>
    <w:rsid w:val="00047F39"/>
    <w:rsid w:val="00051D37"/>
    <w:rsid w:val="0005536D"/>
    <w:rsid w:val="00055548"/>
    <w:rsid w:val="00055D60"/>
    <w:rsid w:val="000567A1"/>
    <w:rsid w:val="0006072D"/>
    <w:rsid w:val="000676A3"/>
    <w:rsid w:val="00070EA2"/>
    <w:rsid w:val="000732C7"/>
    <w:rsid w:val="00074AB0"/>
    <w:rsid w:val="00075790"/>
    <w:rsid w:val="00077369"/>
    <w:rsid w:val="0007799A"/>
    <w:rsid w:val="00080BF8"/>
    <w:rsid w:val="00083470"/>
    <w:rsid w:val="00086431"/>
    <w:rsid w:val="00090242"/>
    <w:rsid w:val="0009172B"/>
    <w:rsid w:val="00092756"/>
    <w:rsid w:val="0009299B"/>
    <w:rsid w:val="000943D0"/>
    <w:rsid w:val="00097A0D"/>
    <w:rsid w:val="000A2DE2"/>
    <w:rsid w:val="000A2F64"/>
    <w:rsid w:val="000A69FA"/>
    <w:rsid w:val="000B1D2C"/>
    <w:rsid w:val="000B2379"/>
    <w:rsid w:val="000B34E8"/>
    <w:rsid w:val="000B3B25"/>
    <w:rsid w:val="000B737F"/>
    <w:rsid w:val="000B78C0"/>
    <w:rsid w:val="000B7B7E"/>
    <w:rsid w:val="000C2E42"/>
    <w:rsid w:val="000C694F"/>
    <w:rsid w:val="000C73C4"/>
    <w:rsid w:val="000D1206"/>
    <w:rsid w:val="000D2718"/>
    <w:rsid w:val="000D36B7"/>
    <w:rsid w:val="000D397B"/>
    <w:rsid w:val="000D3A34"/>
    <w:rsid w:val="000D3F74"/>
    <w:rsid w:val="000D4977"/>
    <w:rsid w:val="000D60E3"/>
    <w:rsid w:val="000D6199"/>
    <w:rsid w:val="000E0846"/>
    <w:rsid w:val="000E2343"/>
    <w:rsid w:val="000E26F8"/>
    <w:rsid w:val="000E39C9"/>
    <w:rsid w:val="000E436D"/>
    <w:rsid w:val="000E4780"/>
    <w:rsid w:val="000E515C"/>
    <w:rsid w:val="000E52D0"/>
    <w:rsid w:val="000E6EC9"/>
    <w:rsid w:val="000E71BB"/>
    <w:rsid w:val="000F0281"/>
    <w:rsid w:val="000F14DB"/>
    <w:rsid w:val="000F1A84"/>
    <w:rsid w:val="000F5618"/>
    <w:rsid w:val="000F690D"/>
    <w:rsid w:val="000F7CFE"/>
    <w:rsid w:val="001027F4"/>
    <w:rsid w:val="00103DDE"/>
    <w:rsid w:val="00104E75"/>
    <w:rsid w:val="00106598"/>
    <w:rsid w:val="00107D01"/>
    <w:rsid w:val="001102A0"/>
    <w:rsid w:val="00110DC0"/>
    <w:rsid w:val="00113775"/>
    <w:rsid w:val="00123595"/>
    <w:rsid w:val="00124900"/>
    <w:rsid w:val="00125602"/>
    <w:rsid w:val="00125F93"/>
    <w:rsid w:val="00126468"/>
    <w:rsid w:val="00127F97"/>
    <w:rsid w:val="00130B7E"/>
    <w:rsid w:val="00130FCC"/>
    <w:rsid w:val="00131041"/>
    <w:rsid w:val="00131560"/>
    <w:rsid w:val="00131A34"/>
    <w:rsid w:val="00132E64"/>
    <w:rsid w:val="001330F0"/>
    <w:rsid w:val="00133A3B"/>
    <w:rsid w:val="001378FB"/>
    <w:rsid w:val="00137C13"/>
    <w:rsid w:val="00137D9E"/>
    <w:rsid w:val="001400D6"/>
    <w:rsid w:val="00140F7A"/>
    <w:rsid w:val="001418B1"/>
    <w:rsid w:val="00144768"/>
    <w:rsid w:val="001447C8"/>
    <w:rsid w:val="00145ECB"/>
    <w:rsid w:val="00155698"/>
    <w:rsid w:val="00155D02"/>
    <w:rsid w:val="00156B9B"/>
    <w:rsid w:val="00161973"/>
    <w:rsid w:val="00161C44"/>
    <w:rsid w:val="00162F84"/>
    <w:rsid w:val="00163890"/>
    <w:rsid w:val="0016568F"/>
    <w:rsid w:val="0016595A"/>
    <w:rsid w:val="001665EB"/>
    <w:rsid w:val="00167AF2"/>
    <w:rsid w:val="001708DE"/>
    <w:rsid w:val="00170C8F"/>
    <w:rsid w:val="00173979"/>
    <w:rsid w:val="00173C87"/>
    <w:rsid w:val="00174D63"/>
    <w:rsid w:val="00177B1F"/>
    <w:rsid w:val="00177B21"/>
    <w:rsid w:val="00177D37"/>
    <w:rsid w:val="00177F3B"/>
    <w:rsid w:val="00181D3D"/>
    <w:rsid w:val="00184177"/>
    <w:rsid w:val="00184E50"/>
    <w:rsid w:val="00191F47"/>
    <w:rsid w:val="0019207E"/>
    <w:rsid w:val="0019363D"/>
    <w:rsid w:val="001936FF"/>
    <w:rsid w:val="00195B9C"/>
    <w:rsid w:val="00195EF2"/>
    <w:rsid w:val="00197253"/>
    <w:rsid w:val="00197FE1"/>
    <w:rsid w:val="001A09E7"/>
    <w:rsid w:val="001A72CC"/>
    <w:rsid w:val="001A74A3"/>
    <w:rsid w:val="001B01E5"/>
    <w:rsid w:val="001B0FA0"/>
    <w:rsid w:val="001B345C"/>
    <w:rsid w:val="001B34E0"/>
    <w:rsid w:val="001B77E8"/>
    <w:rsid w:val="001C23A4"/>
    <w:rsid w:val="001C287F"/>
    <w:rsid w:val="001C3443"/>
    <w:rsid w:val="001C6DF0"/>
    <w:rsid w:val="001D07A3"/>
    <w:rsid w:val="001D4DF4"/>
    <w:rsid w:val="001D7577"/>
    <w:rsid w:val="001D774A"/>
    <w:rsid w:val="001E0792"/>
    <w:rsid w:val="001E1F3A"/>
    <w:rsid w:val="001E2C13"/>
    <w:rsid w:val="001E3C29"/>
    <w:rsid w:val="001E3D02"/>
    <w:rsid w:val="001E4EBD"/>
    <w:rsid w:val="001E7AD4"/>
    <w:rsid w:val="001F42D9"/>
    <w:rsid w:val="001F5656"/>
    <w:rsid w:val="001F611B"/>
    <w:rsid w:val="001F74E2"/>
    <w:rsid w:val="001F7EBA"/>
    <w:rsid w:val="00200E0F"/>
    <w:rsid w:val="00200EBA"/>
    <w:rsid w:val="002053AE"/>
    <w:rsid w:val="00210150"/>
    <w:rsid w:val="00212ADF"/>
    <w:rsid w:val="00213DF4"/>
    <w:rsid w:val="00213EB5"/>
    <w:rsid w:val="00214501"/>
    <w:rsid w:val="0021573D"/>
    <w:rsid w:val="00217748"/>
    <w:rsid w:val="0022189E"/>
    <w:rsid w:val="0022576C"/>
    <w:rsid w:val="0022587B"/>
    <w:rsid w:val="002264C7"/>
    <w:rsid w:val="0022716D"/>
    <w:rsid w:val="002319FD"/>
    <w:rsid w:val="00232445"/>
    <w:rsid w:val="002328D6"/>
    <w:rsid w:val="00232DE6"/>
    <w:rsid w:val="00232F4A"/>
    <w:rsid w:val="00233727"/>
    <w:rsid w:val="0023651A"/>
    <w:rsid w:val="00236A63"/>
    <w:rsid w:val="00237A80"/>
    <w:rsid w:val="0024200D"/>
    <w:rsid w:val="00244329"/>
    <w:rsid w:val="0024544B"/>
    <w:rsid w:val="00250DBA"/>
    <w:rsid w:val="00250F45"/>
    <w:rsid w:val="00252AB8"/>
    <w:rsid w:val="002532A3"/>
    <w:rsid w:val="0025585F"/>
    <w:rsid w:val="00256750"/>
    <w:rsid w:val="00256973"/>
    <w:rsid w:val="00256B01"/>
    <w:rsid w:val="0026267C"/>
    <w:rsid w:val="002629E0"/>
    <w:rsid w:val="002631EF"/>
    <w:rsid w:val="0026393D"/>
    <w:rsid w:val="00263B85"/>
    <w:rsid w:val="002654A5"/>
    <w:rsid w:val="002654E7"/>
    <w:rsid w:val="002727EA"/>
    <w:rsid w:val="00272B0D"/>
    <w:rsid w:val="00273B32"/>
    <w:rsid w:val="00275739"/>
    <w:rsid w:val="002769B1"/>
    <w:rsid w:val="00276E7A"/>
    <w:rsid w:val="00277229"/>
    <w:rsid w:val="0028265F"/>
    <w:rsid w:val="00283214"/>
    <w:rsid w:val="0028368B"/>
    <w:rsid w:val="0028418A"/>
    <w:rsid w:val="002854F6"/>
    <w:rsid w:val="002855E4"/>
    <w:rsid w:val="00287354"/>
    <w:rsid w:val="002912F4"/>
    <w:rsid w:val="00292106"/>
    <w:rsid w:val="00293702"/>
    <w:rsid w:val="00294977"/>
    <w:rsid w:val="002A262C"/>
    <w:rsid w:val="002A3F99"/>
    <w:rsid w:val="002A4C50"/>
    <w:rsid w:val="002A68E4"/>
    <w:rsid w:val="002A7056"/>
    <w:rsid w:val="002A7541"/>
    <w:rsid w:val="002B067E"/>
    <w:rsid w:val="002B0B7D"/>
    <w:rsid w:val="002B4E97"/>
    <w:rsid w:val="002B50BD"/>
    <w:rsid w:val="002B5F11"/>
    <w:rsid w:val="002B7D60"/>
    <w:rsid w:val="002B7DBB"/>
    <w:rsid w:val="002B7DE1"/>
    <w:rsid w:val="002C06A0"/>
    <w:rsid w:val="002C1372"/>
    <w:rsid w:val="002C1A1F"/>
    <w:rsid w:val="002C2C18"/>
    <w:rsid w:val="002C2C62"/>
    <w:rsid w:val="002C3A4C"/>
    <w:rsid w:val="002C3C4B"/>
    <w:rsid w:val="002C3F5D"/>
    <w:rsid w:val="002C451B"/>
    <w:rsid w:val="002D16D0"/>
    <w:rsid w:val="002D3AEF"/>
    <w:rsid w:val="002D5A35"/>
    <w:rsid w:val="002D73C4"/>
    <w:rsid w:val="002E031A"/>
    <w:rsid w:val="002E1C16"/>
    <w:rsid w:val="002E56FE"/>
    <w:rsid w:val="002E611D"/>
    <w:rsid w:val="002E7233"/>
    <w:rsid w:val="002F1D38"/>
    <w:rsid w:val="002F3315"/>
    <w:rsid w:val="002F4053"/>
    <w:rsid w:val="002F40AA"/>
    <w:rsid w:val="002F43A9"/>
    <w:rsid w:val="0030157B"/>
    <w:rsid w:val="00301F09"/>
    <w:rsid w:val="00301F4A"/>
    <w:rsid w:val="003047F3"/>
    <w:rsid w:val="003076F1"/>
    <w:rsid w:val="00307DDC"/>
    <w:rsid w:val="003138B0"/>
    <w:rsid w:val="0031449C"/>
    <w:rsid w:val="00315837"/>
    <w:rsid w:val="00317382"/>
    <w:rsid w:val="00317F59"/>
    <w:rsid w:val="00327CB0"/>
    <w:rsid w:val="00327EB5"/>
    <w:rsid w:val="0033088A"/>
    <w:rsid w:val="0033134D"/>
    <w:rsid w:val="00332232"/>
    <w:rsid w:val="00332CBD"/>
    <w:rsid w:val="00332D49"/>
    <w:rsid w:val="003358EF"/>
    <w:rsid w:val="00335EDA"/>
    <w:rsid w:val="00336B2D"/>
    <w:rsid w:val="00341F8D"/>
    <w:rsid w:val="00343A56"/>
    <w:rsid w:val="00343A72"/>
    <w:rsid w:val="00345B86"/>
    <w:rsid w:val="003463C9"/>
    <w:rsid w:val="0034793B"/>
    <w:rsid w:val="00350078"/>
    <w:rsid w:val="00350727"/>
    <w:rsid w:val="003514A8"/>
    <w:rsid w:val="00356FAB"/>
    <w:rsid w:val="003570B4"/>
    <w:rsid w:val="00361BA4"/>
    <w:rsid w:val="00361C26"/>
    <w:rsid w:val="00361E6F"/>
    <w:rsid w:val="00363E59"/>
    <w:rsid w:val="00364782"/>
    <w:rsid w:val="00364E82"/>
    <w:rsid w:val="00364F87"/>
    <w:rsid w:val="00365BCA"/>
    <w:rsid w:val="00366238"/>
    <w:rsid w:val="00366690"/>
    <w:rsid w:val="00366855"/>
    <w:rsid w:val="00367185"/>
    <w:rsid w:val="00370703"/>
    <w:rsid w:val="00370A39"/>
    <w:rsid w:val="003741D7"/>
    <w:rsid w:val="003742AD"/>
    <w:rsid w:val="0038020A"/>
    <w:rsid w:val="00380CEB"/>
    <w:rsid w:val="00380F8F"/>
    <w:rsid w:val="00382442"/>
    <w:rsid w:val="003826E4"/>
    <w:rsid w:val="0038426A"/>
    <w:rsid w:val="003849E1"/>
    <w:rsid w:val="00385071"/>
    <w:rsid w:val="003866B2"/>
    <w:rsid w:val="00387459"/>
    <w:rsid w:val="00390BDA"/>
    <w:rsid w:val="00392104"/>
    <w:rsid w:val="00392D98"/>
    <w:rsid w:val="00393A99"/>
    <w:rsid w:val="00393B7A"/>
    <w:rsid w:val="003963FA"/>
    <w:rsid w:val="00396B82"/>
    <w:rsid w:val="003A03CE"/>
    <w:rsid w:val="003A1A5C"/>
    <w:rsid w:val="003A3492"/>
    <w:rsid w:val="003A3897"/>
    <w:rsid w:val="003A4652"/>
    <w:rsid w:val="003A48FA"/>
    <w:rsid w:val="003A4CC5"/>
    <w:rsid w:val="003A4F66"/>
    <w:rsid w:val="003A5FEE"/>
    <w:rsid w:val="003B5BEA"/>
    <w:rsid w:val="003B5CBF"/>
    <w:rsid w:val="003B7268"/>
    <w:rsid w:val="003C1535"/>
    <w:rsid w:val="003C19F9"/>
    <w:rsid w:val="003C1AF6"/>
    <w:rsid w:val="003C367E"/>
    <w:rsid w:val="003C4628"/>
    <w:rsid w:val="003C7571"/>
    <w:rsid w:val="003D0191"/>
    <w:rsid w:val="003D22E1"/>
    <w:rsid w:val="003D48C6"/>
    <w:rsid w:val="003D5451"/>
    <w:rsid w:val="003E004E"/>
    <w:rsid w:val="003E096D"/>
    <w:rsid w:val="003E0A67"/>
    <w:rsid w:val="003E3F5B"/>
    <w:rsid w:val="003E53ED"/>
    <w:rsid w:val="003F0D70"/>
    <w:rsid w:val="003F199B"/>
    <w:rsid w:val="003F311E"/>
    <w:rsid w:val="003F3D5B"/>
    <w:rsid w:val="003F6748"/>
    <w:rsid w:val="003F7825"/>
    <w:rsid w:val="003F7CCC"/>
    <w:rsid w:val="00402AAA"/>
    <w:rsid w:val="00403A1C"/>
    <w:rsid w:val="004073D2"/>
    <w:rsid w:val="00411F9B"/>
    <w:rsid w:val="004126E7"/>
    <w:rsid w:val="004154BE"/>
    <w:rsid w:val="00415631"/>
    <w:rsid w:val="004168E2"/>
    <w:rsid w:val="0041702E"/>
    <w:rsid w:val="0041769A"/>
    <w:rsid w:val="00417B0E"/>
    <w:rsid w:val="00417C84"/>
    <w:rsid w:val="00422635"/>
    <w:rsid w:val="00424A7A"/>
    <w:rsid w:val="004256E2"/>
    <w:rsid w:val="004273C9"/>
    <w:rsid w:val="0043130C"/>
    <w:rsid w:val="00434182"/>
    <w:rsid w:val="00435419"/>
    <w:rsid w:val="00435DB8"/>
    <w:rsid w:val="00436629"/>
    <w:rsid w:val="00436EA6"/>
    <w:rsid w:val="004403E9"/>
    <w:rsid w:val="00441976"/>
    <w:rsid w:val="00443B6A"/>
    <w:rsid w:val="0044536A"/>
    <w:rsid w:val="0044603A"/>
    <w:rsid w:val="00446CB2"/>
    <w:rsid w:val="0045179B"/>
    <w:rsid w:val="0045291F"/>
    <w:rsid w:val="00452BD6"/>
    <w:rsid w:val="00453CD7"/>
    <w:rsid w:val="00454E76"/>
    <w:rsid w:val="00456835"/>
    <w:rsid w:val="0045718A"/>
    <w:rsid w:val="004576AF"/>
    <w:rsid w:val="004627BB"/>
    <w:rsid w:val="00463029"/>
    <w:rsid w:val="00463DF4"/>
    <w:rsid w:val="00467B88"/>
    <w:rsid w:val="00467CF9"/>
    <w:rsid w:val="00470151"/>
    <w:rsid w:val="0047044F"/>
    <w:rsid w:val="0047047A"/>
    <w:rsid w:val="004718D8"/>
    <w:rsid w:val="0047209D"/>
    <w:rsid w:val="004721A3"/>
    <w:rsid w:val="0047317E"/>
    <w:rsid w:val="004737D5"/>
    <w:rsid w:val="004748E3"/>
    <w:rsid w:val="00475361"/>
    <w:rsid w:val="0047766D"/>
    <w:rsid w:val="00481A3D"/>
    <w:rsid w:val="004833DA"/>
    <w:rsid w:val="00486B1E"/>
    <w:rsid w:val="00487FD3"/>
    <w:rsid w:val="00490F06"/>
    <w:rsid w:val="00493066"/>
    <w:rsid w:val="00495217"/>
    <w:rsid w:val="00495312"/>
    <w:rsid w:val="00495C23"/>
    <w:rsid w:val="0049789B"/>
    <w:rsid w:val="004A0180"/>
    <w:rsid w:val="004A03B0"/>
    <w:rsid w:val="004A107A"/>
    <w:rsid w:val="004A320E"/>
    <w:rsid w:val="004A35B4"/>
    <w:rsid w:val="004A3EC6"/>
    <w:rsid w:val="004A410A"/>
    <w:rsid w:val="004A7170"/>
    <w:rsid w:val="004B1815"/>
    <w:rsid w:val="004B2139"/>
    <w:rsid w:val="004B24E0"/>
    <w:rsid w:val="004B2D0B"/>
    <w:rsid w:val="004B3F2E"/>
    <w:rsid w:val="004B43FE"/>
    <w:rsid w:val="004B4A6F"/>
    <w:rsid w:val="004B4DAF"/>
    <w:rsid w:val="004B55C5"/>
    <w:rsid w:val="004B673B"/>
    <w:rsid w:val="004C2F00"/>
    <w:rsid w:val="004C3212"/>
    <w:rsid w:val="004C3E80"/>
    <w:rsid w:val="004C4548"/>
    <w:rsid w:val="004C74FC"/>
    <w:rsid w:val="004C771F"/>
    <w:rsid w:val="004C7728"/>
    <w:rsid w:val="004D0C4B"/>
    <w:rsid w:val="004D1617"/>
    <w:rsid w:val="004D2E49"/>
    <w:rsid w:val="004D4960"/>
    <w:rsid w:val="004D5B4E"/>
    <w:rsid w:val="004D7C86"/>
    <w:rsid w:val="004D7CC6"/>
    <w:rsid w:val="004E0E46"/>
    <w:rsid w:val="004E5CED"/>
    <w:rsid w:val="004E717E"/>
    <w:rsid w:val="004F284E"/>
    <w:rsid w:val="004F31FD"/>
    <w:rsid w:val="004F6DE5"/>
    <w:rsid w:val="004F72B5"/>
    <w:rsid w:val="004F78E3"/>
    <w:rsid w:val="0050104F"/>
    <w:rsid w:val="00502546"/>
    <w:rsid w:val="00502D89"/>
    <w:rsid w:val="00503F69"/>
    <w:rsid w:val="00511080"/>
    <w:rsid w:val="00511D71"/>
    <w:rsid w:val="0051282C"/>
    <w:rsid w:val="00514998"/>
    <w:rsid w:val="00520241"/>
    <w:rsid w:val="005251C7"/>
    <w:rsid w:val="00525DD7"/>
    <w:rsid w:val="00525F1E"/>
    <w:rsid w:val="005260FE"/>
    <w:rsid w:val="00531A9C"/>
    <w:rsid w:val="00532066"/>
    <w:rsid w:val="005329DF"/>
    <w:rsid w:val="00533C5E"/>
    <w:rsid w:val="005342F2"/>
    <w:rsid w:val="0053630E"/>
    <w:rsid w:val="00536DDB"/>
    <w:rsid w:val="00537191"/>
    <w:rsid w:val="00537D08"/>
    <w:rsid w:val="00541625"/>
    <w:rsid w:val="00541F17"/>
    <w:rsid w:val="005424A5"/>
    <w:rsid w:val="0054638E"/>
    <w:rsid w:val="0055109A"/>
    <w:rsid w:val="00552A1E"/>
    <w:rsid w:val="005530B5"/>
    <w:rsid w:val="00553A89"/>
    <w:rsid w:val="00553C31"/>
    <w:rsid w:val="005568F1"/>
    <w:rsid w:val="00557980"/>
    <w:rsid w:val="005608FA"/>
    <w:rsid w:val="00561F00"/>
    <w:rsid w:val="00562415"/>
    <w:rsid w:val="00564466"/>
    <w:rsid w:val="00567918"/>
    <w:rsid w:val="005700F2"/>
    <w:rsid w:val="005715A3"/>
    <w:rsid w:val="00571829"/>
    <w:rsid w:val="005731AD"/>
    <w:rsid w:val="0057330F"/>
    <w:rsid w:val="00575A41"/>
    <w:rsid w:val="00576DC6"/>
    <w:rsid w:val="0058332B"/>
    <w:rsid w:val="005858D9"/>
    <w:rsid w:val="0058655B"/>
    <w:rsid w:val="005902EF"/>
    <w:rsid w:val="005906F9"/>
    <w:rsid w:val="00590E36"/>
    <w:rsid w:val="005911F8"/>
    <w:rsid w:val="00592A0C"/>
    <w:rsid w:val="00592BC0"/>
    <w:rsid w:val="00595D52"/>
    <w:rsid w:val="00596383"/>
    <w:rsid w:val="0059767B"/>
    <w:rsid w:val="00597905"/>
    <w:rsid w:val="00597D66"/>
    <w:rsid w:val="005A02AE"/>
    <w:rsid w:val="005A0B3C"/>
    <w:rsid w:val="005A0B9A"/>
    <w:rsid w:val="005A2204"/>
    <w:rsid w:val="005A2F62"/>
    <w:rsid w:val="005A410F"/>
    <w:rsid w:val="005A4FF5"/>
    <w:rsid w:val="005A5BAC"/>
    <w:rsid w:val="005B05B1"/>
    <w:rsid w:val="005B065B"/>
    <w:rsid w:val="005B0666"/>
    <w:rsid w:val="005B1DC3"/>
    <w:rsid w:val="005B318C"/>
    <w:rsid w:val="005B48F6"/>
    <w:rsid w:val="005B60B4"/>
    <w:rsid w:val="005C1226"/>
    <w:rsid w:val="005C54F8"/>
    <w:rsid w:val="005C5E89"/>
    <w:rsid w:val="005C7397"/>
    <w:rsid w:val="005D3358"/>
    <w:rsid w:val="005D35A3"/>
    <w:rsid w:val="005D5832"/>
    <w:rsid w:val="005D7AD1"/>
    <w:rsid w:val="005E0C6B"/>
    <w:rsid w:val="005E31FC"/>
    <w:rsid w:val="005E351B"/>
    <w:rsid w:val="005E4628"/>
    <w:rsid w:val="005E62F4"/>
    <w:rsid w:val="005E79D5"/>
    <w:rsid w:val="005F13D1"/>
    <w:rsid w:val="005F24F2"/>
    <w:rsid w:val="005F3AFE"/>
    <w:rsid w:val="005F460C"/>
    <w:rsid w:val="005F5E59"/>
    <w:rsid w:val="005F7469"/>
    <w:rsid w:val="005F7949"/>
    <w:rsid w:val="005F7DF5"/>
    <w:rsid w:val="00600055"/>
    <w:rsid w:val="00601DCF"/>
    <w:rsid w:val="0060218F"/>
    <w:rsid w:val="00602833"/>
    <w:rsid w:val="00602BA2"/>
    <w:rsid w:val="00603E18"/>
    <w:rsid w:val="00604865"/>
    <w:rsid w:val="0060731D"/>
    <w:rsid w:val="00607ADE"/>
    <w:rsid w:val="00607D5D"/>
    <w:rsid w:val="0061122D"/>
    <w:rsid w:val="00611D13"/>
    <w:rsid w:val="006145F3"/>
    <w:rsid w:val="006156DC"/>
    <w:rsid w:val="00616940"/>
    <w:rsid w:val="006203DD"/>
    <w:rsid w:val="00620787"/>
    <w:rsid w:val="0062117F"/>
    <w:rsid w:val="00621418"/>
    <w:rsid w:val="00622EA8"/>
    <w:rsid w:val="00625471"/>
    <w:rsid w:val="00631C53"/>
    <w:rsid w:val="0063326F"/>
    <w:rsid w:val="006341C9"/>
    <w:rsid w:val="00634514"/>
    <w:rsid w:val="00637894"/>
    <w:rsid w:val="006404D5"/>
    <w:rsid w:val="006407A9"/>
    <w:rsid w:val="006428EE"/>
    <w:rsid w:val="0064714D"/>
    <w:rsid w:val="00647377"/>
    <w:rsid w:val="00647603"/>
    <w:rsid w:val="00647673"/>
    <w:rsid w:val="00647EE1"/>
    <w:rsid w:val="006500A7"/>
    <w:rsid w:val="006526E3"/>
    <w:rsid w:val="00652AC6"/>
    <w:rsid w:val="00652FEB"/>
    <w:rsid w:val="00653717"/>
    <w:rsid w:val="00655AAE"/>
    <w:rsid w:val="00655FE0"/>
    <w:rsid w:val="00656F02"/>
    <w:rsid w:val="00660541"/>
    <w:rsid w:val="00660645"/>
    <w:rsid w:val="00662D8C"/>
    <w:rsid w:val="0066399E"/>
    <w:rsid w:val="00664405"/>
    <w:rsid w:val="0066459D"/>
    <w:rsid w:val="00665C6B"/>
    <w:rsid w:val="00666784"/>
    <w:rsid w:val="00666B16"/>
    <w:rsid w:val="00670079"/>
    <w:rsid w:val="00670384"/>
    <w:rsid w:val="00670D6E"/>
    <w:rsid w:val="00670E76"/>
    <w:rsid w:val="00671D35"/>
    <w:rsid w:val="00673F80"/>
    <w:rsid w:val="006761D2"/>
    <w:rsid w:val="0067637C"/>
    <w:rsid w:val="0067663C"/>
    <w:rsid w:val="006771A8"/>
    <w:rsid w:val="00677E0F"/>
    <w:rsid w:val="00680418"/>
    <w:rsid w:val="006825F7"/>
    <w:rsid w:val="006837F6"/>
    <w:rsid w:val="00683B93"/>
    <w:rsid w:val="00683D14"/>
    <w:rsid w:val="00685778"/>
    <w:rsid w:val="00685E13"/>
    <w:rsid w:val="00687BF0"/>
    <w:rsid w:val="00691D09"/>
    <w:rsid w:val="006920AE"/>
    <w:rsid w:val="0069266D"/>
    <w:rsid w:val="006928BD"/>
    <w:rsid w:val="00692F4D"/>
    <w:rsid w:val="006935D6"/>
    <w:rsid w:val="00696846"/>
    <w:rsid w:val="00697E91"/>
    <w:rsid w:val="006A05EE"/>
    <w:rsid w:val="006A34B4"/>
    <w:rsid w:val="006A50FA"/>
    <w:rsid w:val="006B1E26"/>
    <w:rsid w:val="006B2EEB"/>
    <w:rsid w:val="006B3EC9"/>
    <w:rsid w:val="006C3326"/>
    <w:rsid w:val="006C3A36"/>
    <w:rsid w:val="006C4724"/>
    <w:rsid w:val="006C4FA1"/>
    <w:rsid w:val="006C639F"/>
    <w:rsid w:val="006C75D1"/>
    <w:rsid w:val="006D0B33"/>
    <w:rsid w:val="006D1573"/>
    <w:rsid w:val="006D4217"/>
    <w:rsid w:val="006E0595"/>
    <w:rsid w:val="006E4428"/>
    <w:rsid w:val="006E6AF6"/>
    <w:rsid w:val="006F1421"/>
    <w:rsid w:val="006F1A7E"/>
    <w:rsid w:val="006F1BB0"/>
    <w:rsid w:val="006F41CA"/>
    <w:rsid w:val="006F5137"/>
    <w:rsid w:val="006F6AE6"/>
    <w:rsid w:val="006F6C5F"/>
    <w:rsid w:val="006F7FCF"/>
    <w:rsid w:val="007002CE"/>
    <w:rsid w:val="00702D22"/>
    <w:rsid w:val="007039BD"/>
    <w:rsid w:val="00704541"/>
    <w:rsid w:val="00705827"/>
    <w:rsid w:val="00706EEC"/>
    <w:rsid w:val="007078C3"/>
    <w:rsid w:val="00710654"/>
    <w:rsid w:val="00711903"/>
    <w:rsid w:val="007124AE"/>
    <w:rsid w:val="0071446B"/>
    <w:rsid w:val="00715310"/>
    <w:rsid w:val="00715D35"/>
    <w:rsid w:val="00720DA8"/>
    <w:rsid w:val="00722746"/>
    <w:rsid w:val="0072678F"/>
    <w:rsid w:val="00731004"/>
    <w:rsid w:val="007313FE"/>
    <w:rsid w:val="00733029"/>
    <w:rsid w:val="00733F93"/>
    <w:rsid w:val="00734DB5"/>
    <w:rsid w:val="00736E89"/>
    <w:rsid w:val="00737977"/>
    <w:rsid w:val="00737EB6"/>
    <w:rsid w:val="00740AD1"/>
    <w:rsid w:val="0074116E"/>
    <w:rsid w:val="0074237B"/>
    <w:rsid w:val="007437C6"/>
    <w:rsid w:val="00743994"/>
    <w:rsid w:val="00743F2C"/>
    <w:rsid w:val="00747273"/>
    <w:rsid w:val="00751E01"/>
    <w:rsid w:val="007521D5"/>
    <w:rsid w:val="007550A4"/>
    <w:rsid w:val="00755B4E"/>
    <w:rsid w:val="00757D53"/>
    <w:rsid w:val="00757DC6"/>
    <w:rsid w:val="00760366"/>
    <w:rsid w:val="00765B86"/>
    <w:rsid w:val="00767678"/>
    <w:rsid w:val="00767EF0"/>
    <w:rsid w:val="00770EC8"/>
    <w:rsid w:val="00774198"/>
    <w:rsid w:val="00777807"/>
    <w:rsid w:val="007840AB"/>
    <w:rsid w:val="007843A5"/>
    <w:rsid w:val="00784542"/>
    <w:rsid w:val="007854A2"/>
    <w:rsid w:val="0078558A"/>
    <w:rsid w:val="00786411"/>
    <w:rsid w:val="00786787"/>
    <w:rsid w:val="00787639"/>
    <w:rsid w:val="00787AD3"/>
    <w:rsid w:val="007901EC"/>
    <w:rsid w:val="0079076F"/>
    <w:rsid w:val="00793129"/>
    <w:rsid w:val="0079333F"/>
    <w:rsid w:val="00794FE2"/>
    <w:rsid w:val="0079519A"/>
    <w:rsid w:val="0079656F"/>
    <w:rsid w:val="007A4B18"/>
    <w:rsid w:val="007A62CB"/>
    <w:rsid w:val="007A75A3"/>
    <w:rsid w:val="007A7DDE"/>
    <w:rsid w:val="007B007E"/>
    <w:rsid w:val="007B0E27"/>
    <w:rsid w:val="007B16DC"/>
    <w:rsid w:val="007B1B30"/>
    <w:rsid w:val="007B529C"/>
    <w:rsid w:val="007B56CD"/>
    <w:rsid w:val="007B5AF3"/>
    <w:rsid w:val="007B6CAD"/>
    <w:rsid w:val="007B6DD1"/>
    <w:rsid w:val="007B72DA"/>
    <w:rsid w:val="007B72FB"/>
    <w:rsid w:val="007B795E"/>
    <w:rsid w:val="007C06A3"/>
    <w:rsid w:val="007C24E4"/>
    <w:rsid w:val="007C5C68"/>
    <w:rsid w:val="007C73DF"/>
    <w:rsid w:val="007D02C7"/>
    <w:rsid w:val="007D0D3C"/>
    <w:rsid w:val="007D207A"/>
    <w:rsid w:val="007D2307"/>
    <w:rsid w:val="007D3445"/>
    <w:rsid w:val="007D3B82"/>
    <w:rsid w:val="007D400C"/>
    <w:rsid w:val="007D4108"/>
    <w:rsid w:val="007D5FFD"/>
    <w:rsid w:val="007D6C44"/>
    <w:rsid w:val="007E0197"/>
    <w:rsid w:val="007E35BE"/>
    <w:rsid w:val="007E3841"/>
    <w:rsid w:val="007E3A57"/>
    <w:rsid w:val="007E41FE"/>
    <w:rsid w:val="007E4408"/>
    <w:rsid w:val="007E5896"/>
    <w:rsid w:val="007E5A84"/>
    <w:rsid w:val="007E67CB"/>
    <w:rsid w:val="007E6883"/>
    <w:rsid w:val="007E7569"/>
    <w:rsid w:val="007F09D0"/>
    <w:rsid w:val="007F1613"/>
    <w:rsid w:val="007F2D93"/>
    <w:rsid w:val="007F38D2"/>
    <w:rsid w:val="007F4F53"/>
    <w:rsid w:val="008019E4"/>
    <w:rsid w:val="00802BA5"/>
    <w:rsid w:val="008040C0"/>
    <w:rsid w:val="00805694"/>
    <w:rsid w:val="00806908"/>
    <w:rsid w:val="00807148"/>
    <w:rsid w:val="00807752"/>
    <w:rsid w:val="00807866"/>
    <w:rsid w:val="00807D93"/>
    <w:rsid w:val="00812998"/>
    <w:rsid w:val="0081381D"/>
    <w:rsid w:val="00813FF5"/>
    <w:rsid w:val="0081553A"/>
    <w:rsid w:val="008157AE"/>
    <w:rsid w:val="00815CB0"/>
    <w:rsid w:val="008175A7"/>
    <w:rsid w:val="00820560"/>
    <w:rsid w:val="00821C31"/>
    <w:rsid w:val="008229F3"/>
    <w:rsid w:val="00824409"/>
    <w:rsid w:val="00825762"/>
    <w:rsid w:val="00826134"/>
    <w:rsid w:val="0082658D"/>
    <w:rsid w:val="008268F8"/>
    <w:rsid w:val="00826D20"/>
    <w:rsid w:val="00827AE9"/>
    <w:rsid w:val="00827E86"/>
    <w:rsid w:val="00827F5A"/>
    <w:rsid w:val="008317EB"/>
    <w:rsid w:val="00831A78"/>
    <w:rsid w:val="00831B93"/>
    <w:rsid w:val="0083362F"/>
    <w:rsid w:val="008344A5"/>
    <w:rsid w:val="00834775"/>
    <w:rsid w:val="00834C12"/>
    <w:rsid w:val="008359FF"/>
    <w:rsid w:val="00842092"/>
    <w:rsid w:val="00843627"/>
    <w:rsid w:val="008448B8"/>
    <w:rsid w:val="0084499F"/>
    <w:rsid w:val="00844D80"/>
    <w:rsid w:val="0085133C"/>
    <w:rsid w:val="0085192F"/>
    <w:rsid w:val="008538F4"/>
    <w:rsid w:val="00855AB5"/>
    <w:rsid w:val="00855B1F"/>
    <w:rsid w:val="00856440"/>
    <w:rsid w:val="0085759B"/>
    <w:rsid w:val="008576F7"/>
    <w:rsid w:val="00861378"/>
    <w:rsid w:val="00862152"/>
    <w:rsid w:val="008626C1"/>
    <w:rsid w:val="00862EC9"/>
    <w:rsid w:val="0086315A"/>
    <w:rsid w:val="00863E0E"/>
    <w:rsid w:val="00865A40"/>
    <w:rsid w:val="00865DF1"/>
    <w:rsid w:val="00866FAA"/>
    <w:rsid w:val="00870884"/>
    <w:rsid w:val="00870CAF"/>
    <w:rsid w:val="00871379"/>
    <w:rsid w:val="00871689"/>
    <w:rsid w:val="0087314F"/>
    <w:rsid w:val="00874136"/>
    <w:rsid w:val="008748DC"/>
    <w:rsid w:val="008748F5"/>
    <w:rsid w:val="00875080"/>
    <w:rsid w:val="0087550C"/>
    <w:rsid w:val="008758A2"/>
    <w:rsid w:val="00876799"/>
    <w:rsid w:val="008767E0"/>
    <w:rsid w:val="008805FC"/>
    <w:rsid w:val="00882077"/>
    <w:rsid w:val="008838BE"/>
    <w:rsid w:val="00885D0C"/>
    <w:rsid w:val="00885D5D"/>
    <w:rsid w:val="00890099"/>
    <w:rsid w:val="008904AB"/>
    <w:rsid w:val="0089163F"/>
    <w:rsid w:val="00892E03"/>
    <w:rsid w:val="00892F20"/>
    <w:rsid w:val="00893D37"/>
    <w:rsid w:val="008944BF"/>
    <w:rsid w:val="0089715E"/>
    <w:rsid w:val="008A0580"/>
    <w:rsid w:val="008A2522"/>
    <w:rsid w:val="008A325D"/>
    <w:rsid w:val="008A35A2"/>
    <w:rsid w:val="008A4D6B"/>
    <w:rsid w:val="008A600F"/>
    <w:rsid w:val="008A699D"/>
    <w:rsid w:val="008A6BD7"/>
    <w:rsid w:val="008A75B7"/>
    <w:rsid w:val="008B0DD4"/>
    <w:rsid w:val="008B262F"/>
    <w:rsid w:val="008B3F2F"/>
    <w:rsid w:val="008B558D"/>
    <w:rsid w:val="008B5877"/>
    <w:rsid w:val="008B74AF"/>
    <w:rsid w:val="008C4FF7"/>
    <w:rsid w:val="008C7097"/>
    <w:rsid w:val="008C770A"/>
    <w:rsid w:val="008D0E37"/>
    <w:rsid w:val="008D42CD"/>
    <w:rsid w:val="008E104E"/>
    <w:rsid w:val="008E3E1B"/>
    <w:rsid w:val="008E427C"/>
    <w:rsid w:val="008E4475"/>
    <w:rsid w:val="008E518E"/>
    <w:rsid w:val="008F0172"/>
    <w:rsid w:val="008F272C"/>
    <w:rsid w:val="008F3A91"/>
    <w:rsid w:val="008F3D39"/>
    <w:rsid w:val="008F4535"/>
    <w:rsid w:val="008F5CDA"/>
    <w:rsid w:val="008F6371"/>
    <w:rsid w:val="008F7BB2"/>
    <w:rsid w:val="00900A9A"/>
    <w:rsid w:val="00901EA7"/>
    <w:rsid w:val="00902B4A"/>
    <w:rsid w:val="00903E21"/>
    <w:rsid w:val="009057C0"/>
    <w:rsid w:val="009075C3"/>
    <w:rsid w:val="00907D33"/>
    <w:rsid w:val="00910346"/>
    <w:rsid w:val="00914AE2"/>
    <w:rsid w:val="00920057"/>
    <w:rsid w:val="00920AC0"/>
    <w:rsid w:val="00920E25"/>
    <w:rsid w:val="00920EFA"/>
    <w:rsid w:val="00922DEA"/>
    <w:rsid w:val="0092655C"/>
    <w:rsid w:val="009304C7"/>
    <w:rsid w:val="00932A75"/>
    <w:rsid w:val="00936704"/>
    <w:rsid w:val="00936755"/>
    <w:rsid w:val="00936B44"/>
    <w:rsid w:val="00936DD8"/>
    <w:rsid w:val="00937C07"/>
    <w:rsid w:val="0094161E"/>
    <w:rsid w:val="00944F64"/>
    <w:rsid w:val="00946011"/>
    <w:rsid w:val="0094724E"/>
    <w:rsid w:val="009478DA"/>
    <w:rsid w:val="00950C11"/>
    <w:rsid w:val="00951D5F"/>
    <w:rsid w:val="009535A8"/>
    <w:rsid w:val="009557A9"/>
    <w:rsid w:val="009607CE"/>
    <w:rsid w:val="0096467E"/>
    <w:rsid w:val="00965B2C"/>
    <w:rsid w:val="00967F93"/>
    <w:rsid w:val="00971ABA"/>
    <w:rsid w:val="00972D71"/>
    <w:rsid w:val="0097467D"/>
    <w:rsid w:val="0097472B"/>
    <w:rsid w:val="00976EC3"/>
    <w:rsid w:val="0097797D"/>
    <w:rsid w:val="00982092"/>
    <w:rsid w:val="009873C9"/>
    <w:rsid w:val="00990060"/>
    <w:rsid w:val="009903D3"/>
    <w:rsid w:val="00990D30"/>
    <w:rsid w:val="00990D75"/>
    <w:rsid w:val="009917A7"/>
    <w:rsid w:val="00995222"/>
    <w:rsid w:val="00995E07"/>
    <w:rsid w:val="00996ABB"/>
    <w:rsid w:val="009A0299"/>
    <w:rsid w:val="009A0CAB"/>
    <w:rsid w:val="009A10FA"/>
    <w:rsid w:val="009A357F"/>
    <w:rsid w:val="009A461D"/>
    <w:rsid w:val="009A74D1"/>
    <w:rsid w:val="009B06D5"/>
    <w:rsid w:val="009B2B39"/>
    <w:rsid w:val="009B3245"/>
    <w:rsid w:val="009B3DD9"/>
    <w:rsid w:val="009B51DA"/>
    <w:rsid w:val="009B71D1"/>
    <w:rsid w:val="009B7735"/>
    <w:rsid w:val="009C0405"/>
    <w:rsid w:val="009C0F1B"/>
    <w:rsid w:val="009C6617"/>
    <w:rsid w:val="009D0E4F"/>
    <w:rsid w:val="009D170F"/>
    <w:rsid w:val="009D1C8B"/>
    <w:rsid w:val="009D1E79"/>
    <w:rsid w:val="009D4F18"/>
    <w:rsid w:val="009D55C4"/>
    <w:rsid w:val="009D74DD"/>
    <w:rsid w:val="009E0AC5"/>
    <w:rsid w:val="009E10B0"/>
    <w:rsid w:val="009E1AF6"/>
    <w:rsid w:val="009E1E00"/>
    <w:rsid w:val="009E2C56"/>
    <w:rsid w:val="009E2CF1"/>
    <w:rsid w:val="009E38A2"/>
    <w:rsid w:val="009E394E"/>
    <w:rsid w:val="009E5692"/>
    <w:rsid w:val="009E7F5A"/>
    <w:rsid w:val="009E7F98"/>
    <w:rsid w:val="009F1459"/>
    <w:rsid w:val="009F2340"/>
    <w:rsid w:val="009F38B8"/>
    <w:rsid w:val="009F4CD5"/>
    <w:rsid w:val="009F63C1"/>
    <w:rsid w:val="009F6A87"/>
    <w:rsid w:val="009F7C7A"/>
    <w:rsid w:val="00A030B9"/>
    <w:rsid w:val="00A030E6"/>
    <w:rsid w:val="00A04F12"/>
    <w:rsid w:val="00A0605E"/>
    <w:rsid w:val="00A07B10"/>
    <w:rsid w:val="00A10974"/>
    <w:rsid w:val="00A1106E"/>
    <w:rsid w:val="00A11F13"/>
    <w:rsid w:val="00A11FF7"/>
    <w:rsid w:val="00A12939"/>
    <w:rsid w:val="00A14BC2"/>
    <w:rsid w:val="00A14C50"/>
    <w:rsid w:val="00A15FF2"/>
    <w:rsid w:val="00A16C05"/>
    <w:rsid w:val="00A2155D"/>
    <w:rsid w:val="00A22779"/>
    <w:rsid w:val="00A242EC"/>
    <w:rsid w:val="00A2547E"/>
    <w:rsid w:val="00A26F64"/>
    <w:rsid w:val="00A277E6"/>
    <w:rsid w:val="00A31538"/>
    <w:rsid w:val="00A31DA7"/>
    <w:rsid w:val="00A34A33"/>
    <w:rsid w:val="00A368D0"/>
    <w:rsid w:val="00A4047D"/>
    <w:rsid w:val="00A42FE5"/>
    <w:rsid w:val="00A44D4F"/>
    <w:rsid w:val="00A4520F"/>
    <w:rsid w:val="00A4729E"/>
    <w:rsid w:val="00A53129"/>
    <w:rsid w:val="00A54478"/>
    <w:rsid w:val="00A54B0A"/>
    <w:rsid w:val="00A5770E"/>
    <w:rsid w:val="00A6190D"/>
    <w:rsid w:val="00A619D1"/>
    <w:rsid w:val="00A64F9F"/>
    <w:rsid w:val="00A653E3"/>
    <w:rsid w:val="00A70426"/>
    <w:rsid w:val="00A71233"/>
    <w:rsid w:val="00A72A26"/>
    <w:rsid w:val="00A735CD"/>
    <w:rsid w:val="00A73F23"/>
    <w:rsid w:val="00A74F1E"/>
    <w:rsid w:val="00A7504B"/>
    <w:rsid w:val="00A768D5"/>
    <w:rsid w:val="00A77284"/>
    <w:rsid w:val="00A810FC"/>
    <w:rsid w:val="00A828F5"/>
    <w:rsid w:val="00A82D85"/>
    <w:rsid w:val="00A83C8D"/>
    <w:rsid w:val="00A84B63"/>
    <w:rsid w:val="00A90F16"/>
    <w:rsid w:val="00A91F61"/>
    <w:rsid w:val="00A946CA"/>
    <w:rsid w:val="00A94DDD"/>
    <w:rsid w:val="00A963F8"/>
    <w:rsid w:val="00A977A7"/>
    <w:rsid w:val="00A97EA1"/>
    <w:rsid w:val="00AA059F"/>
    <w:rsid w:val="00AA0962"/>
    <w:rsid w:val="00AA7F72"/>
    <w:rsid w:val="00AB08AA"/>
    <w:rsid w:val="00AB4EE2"/>
    <w:rsid w:val="00AC058C"/>
    <w:rsid w:val="00AC30AA"/>
    <w:rsid w:val="00AC350A"/>
    <w:rsid w:val="00AC4D17"/>
    <w:rsid w:val="00AC6057"/>
    <w:rsid w:val="00AC670E"/>
    <w:rsid w:val="00AC7659"/>
    <w:rsid w:val="00AC7F6A"/>
    <w:rsid w:val="00AD0927"/>
    <w:rsid w:val="00AD0BD3"/>
    <w:rsid w:val="00AD196F"/>
    <w:rsid w:val="00AD477A"/>
    <w:rsid w:val="00AD5DF4"/>
    <w:rsid w:val="00AD5E56"/>
    <w:rsid w:val="00AD6094"/>
    <w:rsid w:val="00AE0B7E"/>
    <w:rsid w:val="00AE191A"/>
    <w:rsid w:val="00AE1D73"/>
    <w:rsid w:val="00AE25E6"/>
    <w:rsid w:val="00AE2B3E"/>
    <w:rsid w:val="00AE4A20"/>
    <w:rsid w:val="00AE780A"/>
    <w:rsid w:val="00AE7C25"/>
    <w:rsid w:val="00AF08FF"/>
    <w:rsid w:val="00AF1D19"/>
    <w:rsid w:val="00AF1DB3"/>
    <w:rsid w:val="00AF277B"/>
    <w:rsid w:val="00AF3304"/>
    <w:rsid w:val="00AF710C"/>
    <w:rsid w:val="00AF720D"/>
    <w:rsid w:val="00B00FC0"/>
    <w:rsid w:val="00B02A87"/>
    <w:rsid w:val="00B033B1"/>
    <w:rsid w:val="00B0511E"/>
    <w:rsid w:val="00B0595A"/>
    <w:rsid w:val="00B071B0"/>
    <w:rsid w:val="00B10B0D"/>
    <w:rsid w:val="00B12859"/>
    <w:rsid w:val="00B13CB6"/>
    <w:rsid w:val="00B13EEE"/>
    <w:rsid w:val="00B15A6F"/>
    <w:rsid w:val="00B17417"/>
    <w:rsid w:val="00B17837"/>
    <w:rsid w:val="00B17C70"/>
    <w:rsid w:val="00B217B4"/>
    <w:rsid w:val="00B2350E"/>
    <w:rsid w:val="00B23A4B"/>
    <w:rsid w:val="00B24920"/>
    <w:rsid w:val="00B2729A"/>
    <w:rsid w:val="00B328E1"/>
    <w:rsid w:val="00B32F9D"/>
    <w:rsid w:val="00B33901"/>
    <w:rsid w:val="00B3492B"/>
    <w:rsid w:val="00B40F2F"/>
    <w:rsid w:val="00B41759"/>
    <w:rsid w:val="00B42940"/>
    <w:rsid w:val="00B43E25"/>
    <w:rsid w:val="00B441CB"/>
    <w:rsid w:val="00B454F0"/>
    <w:rsid w:val="00B46437"/>
    <w:rsid w:val="00B464B4"/>
    <w:rsid w:val="00B50034"/>
    <w:rsid w:val="00B5137E"/>
    <w:rsid w:val="00B52690"/>
    <w:rsid w:val="00B5344B"/>
    <w:rsid w:val="00B535E5"/>
    <w:rsid w:val="00B53A80"/>
    <w:rsid w:val="00B53D5E"/>
    <w:rsid w:val="00B54E57"/>
    <w:rsid w:val="00B55321"/>
    <w:rsid w:val="00B55910"/>
    <w:rsid w:val="00B619D5"/>
    <w:rsid w:val="00B64702"/>
    <w:rsid w:val="00B662C4"/>
    <w:rsid w:val="00B664BB"/>
    <w:rsid w:val="00B66CEF"/>
    <w:rsid w:val="00B67229"/>
    <w:rsid w:val="00B70302"/>
    <w:rsid w:val="00B70FB6"/>
    <w:rsid w:val="00B736B3"/>
    <w:rsid w:val="00B7382C"/>
    <w:rsid w:val="00B74362"/>
    <w:rsid w:val="00B74D4E"/>
    <w:rsid w:val="00B75D9C"/>
    <w:rsid w:val="00B8153D"/>
    <w:rsid w:val="00B81E13"/>
    <w:rsid w:val="00B86B6A"/>
    <w:rsid w:val="00B876D8"/>
    <w:rsid w:val="00B9124C"/>
    <w:rsid w:val="00B9198E"/>
    <w:rsid w:val="00B91A3D"/>
    <w:rsid w:val="00B92964"/>
    <w:rsid w:val="00B92EBB"/>
    <w:rsid w:val="00B96550"/>
    <w:rsid w:val="00B970A9"/>
    <w:rsid w:val="00B97C0D"/>
    <w:rsid w:val="00BA259C"/>
    <w:rsid w:val="00BA27E0"/>
    <w:rsid w:val="00BA4A32"/>
    <w:rsid w:val="00BA57D9"/>
    <w:rsid w:val="00BB0142"/>
    <w:rsid w:val="00BB059F"/>
    <w:rsid w:val="00BB08DB"/>
    <w:rsid w:val="00BB1321"/>
    <w:rsid w:val="00BB180D"/>
    <w:rsid w:val="00BB2DF5"/>
    <w:rsid w:val="00BB3D60"/>
    <w:rsid w:val="00BB4300"/>
    <w:rsid w:val="00BB513F"/>
    <w:rsid w:val="00BB6565"/>
    <w:rsid w:val="00BC15B1"/>
    <w:rsid w:val="00BC2347"/>
    <w:rsid w:val="00BC281F"/>
    <w:rsid w:val="00BC28D2"/>
    <w:rsid w:val="00BC2BD6"/>
    <w:rsid w:val="00BC3299"/>
    <w:rsid w:val="00BC37B0"/>
    <w:rsid w:val="00BC405D"/>
    <w:rsid w:val="00BC516D"/>
    <w:rsid w:val="00BC5535"/>
    <w:rsid w:val="00BC644E"/>
    <w:rsid w:val="00BD01DE"/>
    <w:rsid w:val="00BD287C"/>
    <w:rsid w:val="00BD4256"/>
    <w:rsid w:val="00BD49AA"/>
    <w:rsid w:val="00BD6526"/>
    <w:rsid w:val="00BD6553"/>
    <w:rsid w:val="00BE2EB3"/>
    <w:rsid w:val="00BE3C0B"/>
    <w:rsid w:val="00BE5891"/>
    <w:rsid w:val="00BE6677"/>
    <w:rsid w:val="00BF39F0"/>
    <w:rsid w:val="00BF4884"/>
    <w:rsid w:val="00BF4DAB"/>
    <w:rsid w:val="00BF51A8"/>
    <w:rsid w:val="00BF6259"/>
    <w:rsid w:val="00BF63A5"/>
    <w:rsid w:val="00BF67D2"/>
    <w:rsid w:val="00C0021A"/>
    <w:rsid w:val="00C00E45"/>
    <w:rsid w:val="00C01296"/>
    <w:rsid w:val="00C01B4B"/>
    <w:rsid w:val="00C02F3E"/>
    <w:rsid w:val="00C035BD"/>
    <w:rsid w:val="00C039FF"/>
    <w:rsid w:val="00C03D55"/>
    <w:rsid w:val="00C04FEC"/>
    <w:rsid w:val="00C06F0C"/>
    <w:rsid w:val="00C07C17"/>
    <w:rsid w:val="00C10083"/>
    <w:rsid w:val="00C10E32"/>
    <w:rsid w:val="00C117A4"/>
    <w:rsid w:val="00C149EF"/>
    <w:rsid w:val="00C1532E"/>
    <w:rsid w:val="00C163EA"/>
    <w:rsid w:val="00C20410"/>
    <w:rsid w:val="00C2114E"/>
    <w:rsid w:val="00C214F7"/>
    <w:rsid w:val="00C22876"/>
    <w:rsid w:val="00C233CA"/>
    <w:rsid w:val="00C2367A"/>
    <w:rsid w:val="00C23B54"/>
    <w:rsid w:val="00C24E2F"/>
    <w:rsid w:val="00C3045A"/>
    <w:rsid w:val="00C35862"/>
    <w:rsid w:val="00C367FC"/>
    <w:rsid w:val="00C369CC"/>
    <w:rsid w:val="00C36BC6"/>
    <w:rsid w:val="00C36E78"/>
    <w:rsid w:val="00C40EA7"/>
    <w:rsid w:val="00C42962"/>
    <w:rsid w:val="00C429D9"/>
    <w:rsid w:val="00C47BB7"/>
    <w:rsid w:val="00C51492"/>
    <w:rsid w:val="00C51B85"/>
    <w:rsid w:val="00C5302E"/>
    <w:rsid w:val="00C54594"/>
    <w:rsid w:val="00C60726"/>
    <w:rsid w:val="00C61393"/>
    <w:rsid w:val="00C636ED"/>
    <w:rsid w:val="00C648E9"/>
    <w:rsid w:val="00C64DF8"/>
    <w:rsid w:val="00C65EE3"/>
    <w:rsid w:val="00C74716"/>
    <w:rsid w:val="00C75B55"/>
    <w:rsid w:val="00C75DD1"/>
    <w:rsid w:val="00C7726F"/>
    <w:rsid w:val="00C774BE"/>
    <w:rsid w:val="00C80233"/>
    <w:rsid w:val="00C82C62"/>
    <w:rsid w:val="00C872BF"/>
    <w:rsid w:val="00C879B8"/>
    <w:rsid w:val="00C91610"/>
    <w:rsid w:val="00C9258E"/>
    <w:rsid w:val="00C955A7"/>
    <w:rsid w:val="00C95D7A"/>
    <w:rsid w:val="00C96A59"/>
    <w:rsid w:val="00CA07A3"/>
    <w:rsid w:val="00CA31AB"/>
    <w:rsid w:val="00CA4056"/>
    <w:rsid w:val="00CB1716"/>
    <w:rsid w:val="00CB4533"/>
    <w:rsid w:val="00CB5452"/>
    <w:rsid w:val="00CB798C"/>
    <w:rsid w:val="00CC2011"/>
    <w:rsid w:val="00CC2295"/>
    <w:rsid w:val="00CC2296"/>
    <w:rsid w:val="00CC272F"/>
    <w:rsid w:val="00CC5208"/>
    <w:rsid w:val="00CC7643"/>
    <w:rsid w:val="00CD161D"/>
    <w:rsid w:val="00CD33E5"/>
    <w:rsid w:val="00CD378A"/>
    <w:rsid w:val="00CD3881"/>
    <w:rsid w:val="00CD4827"/>
    <w:rsid w:val="00CD5E43"/>
    <w:rsid w:val="00CD6141"/>
    <w:rsid w:val="00CD67F4"/>
    <w:rsid w:val="00CD6855"/>
    <w:rsid w:val="00CD74FF"/>
    <w:rsid w:val="00CE0508"/>
    <w:rsid w:val="00CE0710"/>
    <w:rsid w:val="00CE096A"/>
    <w:rsid w:val="00CE100A"/>
    <w:rsid w:val="00CE1188"/>
    <w:rsid w:val="00CE4638"/>
    <w:rsid w:val="00CE490D"/>
    <w:rsid w:val="00CE6473"/>
    <w:rsid w:val="00CE743E"/>
    <w:rsid w:val="00CF0D72"/>
    <w:rsid w:val="00CF1F0F"/>
    <w:rsid w:val="00CF3295"/>
    <w:rsid w:val="00CF5334"/>
    <w:rsid w:val="00CF746C"/>
    <w:rsid w:val="00CF7C17"/>
    <w:rsid w:val="00D001AA"/>
    <w:rsid w:val="00D0201C"/>
    <w:rsid w:val="00D03B06"/>
    <w:rsid w:val="00D049E3"/>
    <w:rsid w:val="00D058F5"/>
    <w:rsid w:val="00D10347"/>
    <w:rsid w:val="00D10485"/>
    <w:rsid w:val="00D10FF8"/>
    <w:rsid w:val="00D12677"/>
    <w:rsid w:val="00D12FE7"/>
    <w:rsid w:val="00D14890"/>
    <w:rsid w:val="00D16351"/>
    <w:rsid w:val="00D164D9"/>
    <w:rsid w:val="00D21C37"/>
    <w:rsid w:val="00D2297E"/>
    <w:rsid w:val="00D273DE"/>
    <w:rsid w:val="00D27541"/>
    <w:rsid w:val="00D30C70"/>
    <w:rsid w:val="00D327B0"/>
    <w:rsid w:val="00D35FA0"/>
    <w:rsid w:val="00D37E81"/>
    <w:rsid w:val="00D42B29"/>
    <w:rsid w:val="00D42DC8"/>
    <w:rsid w:val="00D437BB"/>
    <w:rsid w:val="00D43E44"/>
    <w:rsid w:val="00D50BD0"/>
    <w:rsid w:val="00D51506"/>
    <w:rsid w:val="00D5314B"/>
    <w:rsid w:val="00D53837"/>
    <w:rsid w:val="00D53D1D"/>
    <w:rsid w:val="00D53FAC"/>
    <w:rsid w:val="00D555C2"/>
    <w:rsid w:val="00D579AA"/>
    <w:rsid w:val="00D60BE9"/>
    <w:rsid w:val="00D60EF4"/>
    <w:rsid w:val="00D61438"/>
    <w:rsid w:val="00D62769"/>
    <w:rsid w:val="00D655F1"/>
    <w:rsid w:val="00D66FD6"/>
    <w:rsid w:val="00D7102B"/>
    <w:rsid w:val="00D712DE"/>
    <w:rsid w:val="00D71332"/>
    <w:rsid w:val="00D71B61"/>
    <w:rsid w:val="00D73766"/>
    <w:rsid w:val="00D73B5F"/>
    <w:rsid w:val="00D808CE"/>
    <w:rsid w:val="00D8133B"/>
    <w:rsid w:val="00D82E98"/>
    <w:rsid w:val="00D84CBB"/>
    <w:rsid w:val="00D86987"/>
    <w:rsid w:val="00D869EA"/>
    <w:rsid w:val="00D86ECD"/>
    <w:rsid w:val="00D86F9C"/>
    <w:rsid w:val="00D90353"/>
    <w:rsid w:val="00D91536"/>
    <w:rsid w:val="00D91552"/>
    <w:rsid w:val="00D92C3A"/>
    <w:rsid w:val="00D93F5F"/>
    <w:rsid w:val="00D9436F"/>
    <w:rsid w:val="00D94488"/>
    <w:rsid w:val="00D9498E"/>
    <w:rsid w:val="00D95A92"/>
    <w:rsid w:val="00D974E9"/>
    <w:rsid w:val="00DA0909"/>
    <w:rsid w:val="00DA13FD"/>
    <w:rsid w:val="00DA30C7"/>
    <w:rsid w:val="00DA4DC2"/>
    <w:rsid w:val="00DA53DF"/>
    <w:rsid w:val="00DA5BAB"/>
    <w:rsid w:val="00DA5DA7"/>
    <w:rsid w:val="00DA7070"/>
    <w:rsid w:val="00DA7996"/>
    <w:rsid w:val="00DA7C48"/>
    <w:rsid w:val="00DA7DC8"/>
    <w:rsid w:val="00DB2656"/>
    <w:rsid w:val="00DB2A3E"/>
    <w:rsid w:val="00DB33C0"/>
    <w:rsid w:val="00DB6093"/>
    <w:rsid w:val="00DB6C5D"/>
    <w:rsid w:val="00DB7EB9"/>
    <w:rsid w:val="00DC060E"/>
    <w:rsid w:val="00DC0E40"/>
    <w:rsid w:val="00DC291E"/>
    <w:rsid w:val="00DC5B90"/>
    <w:rsid w:val="00DC6778"/>
    <w:rsid w:val="00DC67B4"/>
    <w:rsid w:val="00DC6BB4"/>
    <w:rsid w:val="00DC6E6F"/>
    <w:rsid w:val="00DC7852"/>
    <w:rsid w:val="00DD0171"/>
    <w:rsid w:val="00DD1719"/>
    <w:rsid w:val="00DD3A2E"/>
    <w:rsid w:val="00DD4A89"/>
    <w:rsid w:val="00DD4E36"/>
    <w:rsid w:val="00DD77CF"/>
    <w:rsid w:val="00DD79BD"/>
    <w:rsid w:val="00DE0152"/>
    <w:rsid w:val="00DE29DD"/>
    <w:rsid w:val="00DE326A"/>
    <w:rsid w:val="00DE396F"/>
    <w:rsid w:val="00DE3BC7"/>
    <w:rsid w:val="00DE4326"/>
    <w:rsid w:val="00DE4581"/>
    <w:rsid w:val="00DE5704"/>
    <w:rsid w:val="00DE5DEA"/>
    <w:rsid w:val="00DE6411"/>
    <w:rsid w:val="00DF160E"/>
    <w:rsid w:val="00DF2565"/>
    <w:rsid w:val="00DF3EDB"/>
    <w:rsid w:val="00DF5670"/>
    <w:rsid w:val="00DF5FA1"/>
    <w:rsid w:val="00DF6DEE"/>
    <w:rsid w:val="00E017A4"/>
    <w:rsid w:val="00E0506C"/>
    <w:rsid w:val="00E101FB"/>
    <w:rsid w:val="00E11450"/>
    <w:rsid w:val="00E11CA7"/>
    <w:rsid w:val="00E1250D"/>
    <w:rsid w:val="00E1642B"/>
    <w:rsid w:val="00E20F87"/>
    <w:rsid w:val="00E2165A"/>
    <w:rsid w:val="00E22778"/>
    <w:rsid w:val="00E228F6"/>
    <w:rsid w:val="00E22EDB"/>
    <w:rsid w:val="00E2456B"/>
    <w:rsid w:val="00E25133"/>
    <w:rsid w:val="00E251D1"/>
    <w:rsid w:val="00E25E7B"/>
    <w:rsid w:val="00E25F32"/>
    <w:rsid w:val="00E26999"/>
    <w:rsid w:val="00E3132C"/>
    <w:rsid w:val="00E32F32"/>
    <w:rsid w:val="00E33F6A"/>
    <w:rsid w:val="00E352ED"/>
    <w:rsid w:val="00E35FED"/>
    <w:rsid w:val="00E3657B"/>
    <w:rsid w:val="00E36C30"/>
    <w:rsid w:val="00E37A5E"/>
    <w:rsid w:val="00E40669"/>
    <w:rsid w:val="00E417E3"/>
    <w:rsid w:val="00E43EB8"/>
    <w:rsid w:val="00E44B94"/>
    <w:rsid w:val="00E45ED5"/>
    <w:rsid w:val="00E46056"/>
    <w:rsid w:val="00E50634"/>
    <w:rsid w:val="00E50969"/>
    <w:rsid w:val="00E51E4C"/>
    <w:rsid w:val="00E524FC"/>
    <w:rsid w:val="00E52640"/>
    <w:rsid w:val="00E539CC"/>
    <w:rsid w:val="00E53BBD"/>
    <w:rsid w:val="00E54150"/>
    <w:rsid w:val="00E556EE"/>
    <w:rsid w:val="00E6193A"/>
    <w:rsid w:val="00E62923"/>
    <w:rsid w:val="00E63F0B"/>
    <w:rsid w:val="00E65067"/>
    <w:rsid w:val="00E653C4"/>
    <w:rsid w:val="00E6567F"/>
    <w:rsid w:val="00E67E4F"/>
    <w:rsid w:val="00E7075A"/>
    <w:rsid w:val="00E708A3"/>
    <w:rsid w:val="00E72661"/>
    <w:rsid w:val="00E7405D"/>
    <w:rsid w:val="00E804D4"/>
    <w:rsid w:val="00E81F55"/>
    <w:rsid w:val="00E82C1C"/>
    <w:rsid w:val="00E834DA"/>
    <w:rsid w:val="00E85B91"/>
    <w:rsid w:val="00E85C84"/>
    <w:rsid w:val="00E8678D"/>
    <w:rsid w:val="00E90914"/>
    <w:rsid w:val="00E916C1"/>
    <w:rsid w:val="00E91E56"/>
    <w:rsid w:val="00EA004C"/>
    <w:rsid w:val="00EA0FBC"/>
    <w:rsid w:val="00EA3C93"/>
    <w:rsid w:val="00EA4434"/>
    <w:rsid w:val="00EA448A"/>
    <w:rsid w:val="00EA508B"/>
    <w:rsid w:val="00EA6FD2"/>
    <w:rsid w:val="00EA7EDA"/>
    <w:rsid w:val="00EB1E98"/>
    <w:rsid w:val="00EB2759"/>
    <w:rsid w:val="00EB318B"/>
    <w:rsid w:val="00EB3F4C"/>
    <w:rsid w:val="00EB56DE"/>
    <w:rsid w:val="00EC08D1"/>
    <w:rsid w:val="00EC0DA8"/>
    <w:rsid w:val="00EC295E"/>
    <w:rsid w:val="00EC38AF"/>
    <w:rsid w:val="00EC519B"/>
    <w:rsid w:val="00EC7A49"/>
    <w:rsid w:val="00ED0C20"/>
    <w:rsid w:val="00ED1342"/>
    <w:rsid w:val="00ED2481"/>
    <w:rsid w:val="00ED33E5"/>
    <w:rsid w:val="00ED388A"/>
    <w:rsid w:val="00ED69F9"/>
    <w:rsid w:val="00ED6B45"/>
    <w:rsid w:val="00ED7243"/>
    <w:rsid w:val="00ED77F1"/>
    <w:rsid w:val="00ED7F2B"/>
    <w:rsid w:val="00EE36B5"/>
    <w:rsid w:val="00EE373B"/>
    <w:rsid w:val="00EE3A0F"/>
    <w:rsid w:val="00EE3CDD"/>
    <w:rsid w:val="00EE52CE"/>
    <w:rsid w:val="00EE62A2"/>
    <w:rsid w:val="00EF2BFE"/>
    <w:rsid w:val="00EF30AA"/>
    <w:rsid w:val="00EF41F4"/>
    <w:rsid w:val="00EF4969"/>
    <w:rsid w:val="00EF60B0"/>
    <w:rsid w:val="00EF6ACE"/>
    <w:rsid w:val="00F00051"/>
    <w:rsid w:val="00F0194E"/>
    <w:rsid w:val="00F029F2"/>
    <w:rsid w:val="00F11492"/>
    <w:rsid w:val="00F11F1C"/>
    <w:rsid w:val="00F12ADC"/>
    <w:rsid w:val="00F132EA"/>
    <w:rsid w:val="00F14095"/>
    <w:rsid w:val="00F155FC"/>
    <w:rsid w:val="00F16374"/>
    <w:rsid w:val="00F17E8A"/>
    <w:rsid w:val="00F17EC8"/>
    <w:rsid w:val="00F2182E"/>
    <w:rsid w:val="00F222BA"/>
    <w:rsid w:val="00F22988"/>
    <w:rsid w:val="00F2333C"/>
    <w:rsid w:val="00F23DAF"/>
    <w:rsid w:val="00F248FC"/>
    <w:rsid w:val="00F27870"/>
    <w:rsid w:val="00F30187"/>
    <w:rsid w:val="00F30F42"/>
    <w:rsid w:val="00F313AD"/>
    <w:rsid w:val="00F3338B"/>
    <w:rsid w:val="00F333BC"/>
    <w:rsid w:val="00F3377F"/>
    <w:rsid w:val="00F351CA"/>
    <w:rsid w:val="00F418E3"/>
    <w:rsid w:val="00F41997"/>
    <w:rsid w:val="00F45113"/>
    <w:rsid w:val="00F45E8C"/>
    <w:rsid w:val="00F51BCD"/>
    <w:rsid w:val="00F523AF"/>
    <w:rsid w:val="00F5290F"/>
    <w:rsid w:val="00F54B85"/>
    <w:rsid w:val="00F553C3"/>
    <w:rsid w:val="00F56C19"/>
    <w:rsid w:val="00F56EEA"/>
    <w:rsid w:val="00F627E1"/>
    <w:rsid w:val="00F704BE"/>
    <w:rsid w:val="00F722EC"/>
    <w:rsid w:val="00F72558"/>
    <w:rsid w:val="00F74138"/>
    <w:rsid w:val="00F76242"/>
    <w:rsid w:val="00F76383"/>
    <w:rsid w:val="00F76437"/>
    <w:rsid w:val="00F7684A"/>
    <w:rsid w:val="00F768A0"/>
    <w:rsid w:val="00F76929"/>
    <w:rsid w:val="00F778D6"/>
    <w:rsid w:val="00F80E8E"/>
    <w:rsid w:val="00F81000"/>
    <w:rsid w:val="00F81B7A"/>
    <w:rsid w:val="00F8251C"/>
    <w:rsid w:val="00F839C6"/>
    <w:rsid w:val="00F84C32"/>
    <w:rsid w:val="00F8535F"/>
    <w:rsid w:val="00F8758F"/>
    <w:rsid w:val="00F91ED5"/>
    <w:rsid w:val="00F922DB"/>
    <w:rsid w:val="00F964E8"/>
    <w:rsid w:val="00F97AD3"/>
    <w:rsid w:val="00FA083A"/>
    <w:rsid w:val="00FA1484"/>
    <w:rsid w:val="00FA21D2"/>
    <w:rsid w:val="00FA3C16"/>
    <w:rsid w:val="00FA4367"/>
    <w:rsid w:val="00FA4829"/>
    <w:rsid w:val="00FA686E"/>
    <w:rsid w:val="00FA799F"/>
    <w:rsid w:val="00FB0C22"/>
    <w:rsid w:val="00FB20A4"/>
    <w:rsid w:val="00FB4253"/>
    <w:rsid w:val="00FB543F"/>
    <w:rsid w:val="00FB6E4D"/>
    <w:rsid w:val="00FB6F21"/>
    <w:rsid w:val="00FB7C4F"/>
    <w:rsid w:val="00FC067A"/>
    <w:rsid w:val="00FC0BC1"/>
    <w:rsid w:val="00FC1517"/>
    <w:rsid w:val="00FC275A"/>
    <w:rsid w:val="00FC4B9A"/>
    <w:rsid w:val="00FC6059"/>
    <w:rsid w:val="00FC795F"/>
    <w:rsid w:val="00FC7B33"/>
    <w:rsid w:val="00FD00E0"/>
    <w:rsid w:val="00FD0429"/>
    <w:rsid w:val="00FD1F03"/>
    <w:rsid w:val="00FD2BDC"/>
    <w:rsid w:val="00FD41FC"/>
    <w:rsid w:val="00FD45F1"/>
    <w:rsid w:val="00FD51CE"/>
    <w:rsid w:val="00FD5E94"/>
    <w:rsid w:val="00FD6762"/>
    <w:rsid w:val="00FE19E3"/>
    <w:rsid w:val="00FE62A9"/>
    <w:rsid w:val="00FF00CD"/>
    <w:rsid w:val="00FF0B9F"/>
    <w:rsid w:val="00FF174E"/>
    <w:rsid w:val="00FF282E"/>
    <w:rsid w:val="00FF438B"/>
    <w:rsid w:val="00FF46B4"/>
    <w:rsid w:val="00FF63A7"/>
    <w:rsid w:val="00FF64B0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2306BA7-11A1-499B-81B8-595F80B4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18A"/>
    <w:pPr>
      <w:suppressAutoHyphens/>
      <w:autoSpaceDE w:val="0"/>
      <w:autoSpaceDN w:val="0"/>
      <w:adjustRightInd w:val="0"/>
      <w:spacing w:before="240" w:after="240"/>
      <w:ind w:firstLine="284"/>
    </w:pPr>
    <w:rPr>
      <w:sz w:val="24"/>
      <w:szCs w:val="24"/>
    </w:rPr>
  </w:style>
  <w:style w:type="paragraph" w:styleId="Nadpis1">
    <w:name w:val="heading 1"/>
    <w:basedOn w:val="Odstavecseseznamem"/>
    <w:next w:val="Normln"/>
    <w:qFormat/>
    <w:rsid w:val="0028418A"/>
    <w:pPr>
      <w:numPr>
        <w:numId w:val="39"/>
      </w:numPr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qFormat/>
    <w:rsid w:val="006203DD"/>
    <w:pPr>
      <w:keepNext/>
      <w:numPr>
        <w:ilvl w:val="1"/>
        <w:numId w:val="39"/>
      </w:numPr>
      <w:spacing w:before="80" w:line="300" w:lineRule="exact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rsid w:val="006203DD"/>
    <w:pPr>
      <w:keepNext/>
      <w:numPr>
        <w:ilvl w:val="2"/>
        <w:numId w:val="39"/>
      </w:numPr>
      <w:spacing w:line="300" w:lineRule="exac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CF3295"/>
    <w:pPr>
      <w:keepNext/>
      <w:numPr>
        <w:ilvl w:val="3"/>
        <w:numId w:val="39"/>
      </w:numPr>
      <w:spacing w:before="40" w:after="40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qFormat/>
    <w:rsid w:val="00CF3295"/>
    <w:pPr>
      <w:keepNext/>
      <w:numPr>
        <w:ilvl w:val="4"/>
        <w:numId w:val="39"/>
      </w:numPr>
      <w:spacing w:before="120" w:after="120" w:line="360" w:lineRule="atLeast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rsid w:val="00CF3295"/>
    <w:pPr>
      <w:keepNext/>
      <w:numPr>
        <w:ilvl w:val="5"/>
        <w:numId w:val="39"/>
      </w:numPr>
      <w:spacing w:before="120" w:line="360" w:lineRule="atLeast"/>
      <w:jc w:val="center"/>
      <w:outlineLvl w:val="5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CF3295"/>
    <w:pPr>
      <w:keepNext/>
      <w:numPr>
        <w:ilvl w:val="6"/>
        <w:numId w:val="39"/>
      </w:numPr>
      <w:outlineLvl w:val="6"/>
    </w:pPr>
    <w:rPr>
      <w:i/>
      <w:iCs/>
    </w:rPr>
  </w:style>
  <w:style w:type="paragraph" w:styleId="Nadpis8">
    <w:name w:val="heading 8"/>
    <w:basedOn w:val="Normln"/>
    <w:next w:val="Normln"/>
    <w:qFormat/>
    <w:rsid w:val="00CF3295"/>
    <w:pPr>
      <w:keepNext/>
      <w:numPr>
        <w:ilvl w:val="7"/>
        <w:numId w:val="39"/>
      </w:numPr>
      <w:spacing w:before="120"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CF3295"/>
    <w:pPr>
      <w:keepNext/>
      <w:numPr>
        <w:ilvl w:val="8"/>
        <w:numId w:val="39"/>
      </w:numPr>
      <w:tabs>
        <w:tab w:val="left" w:pos="1670"/>
        <w:tab w:val="left" w:pos="2395"/>
        <w:tab w:val="left" w:pos="3120"/>
        <w:tab w:val="left" w:pos="3845"/>
        <w:tab w:val="left" w:pos="4570"/>
        <w:tab w:val="left" w:pos="5294"/>
        <w:tab w:val="left" w:pos="6019"/>
        <w:tab w:val="left" w:pos="6744"/>
        <w:tab w:val="left" w:pos="7469"/>
        <w:tab w:val="left" w:pos="9102"/>
      </w:tabs>
      <w:jc w:val="center"/>
      <w:outlineLvl w:val="8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F3295"/>
  </w:style>
  <w:style w:type="paragraph" w:styleId="Zhlav">
    <w:name w:val="header"/>
    <w:basedOn w:val="Normln"/>
    <w:rsid w:val="00CF32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329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CF3295"/>
    <w:pPr>
      <w:spacing w:before="120"/>
    </w:pPr>
  </w:style>
  <w:style w:type="paragraph" w:styleId="Zkladntext">
    <w:name w:val="Body Text"/>
    <w:basedOn w:val="Normln"/>
    <w:link w:val="ZkladntextChar"/>
    <w:rsid w:val="005731AD"/>
    <w:pPr>
      <w:spacing w:before="120"/>
      <w:ind w:firstLine="709"/>
    </w:pPr>
  </w:style>
  <w:style w:type="paragraph" w:styleId="Zkladntextodsazen2">
    <w:name w:val="Body Text Indent 2"/>
    <w:basedOn w:val="Normln"/>
    <w:rsid w:val="00CF3295"/>
    <w:pPr>
      <w:ind w:left="851" w:hanging="851"/>
    </w:pPr>
    <w:rPr>
      <w:rFonts w:ascii="Arial" w:hAnsi="Arial" w:cs="Arial"/>
    </w:rPr>
  </w:style>
  <w:style w:type="paragraph" w:styleId="Zkladntextodsazen3">
    <w:name w:val="Body Text Indent 3"/>
    <w:basedOn w:val="Normln"/>
    <w:rsid w:val="00CF3295"/>
    <w:pPr>
      <w:spacing w:before="120"/>
      <w:ind w:firstLine="708"/>
    </w:pPr>
    <w:rPr>
      <w:rFonts w:ascii="Arial" w:hAnsi="Arial" w:cs="Arial"/>
    </w:rPr>
  </w:style>
  <w:style w:type="paragraph" w:customStyle="1" w:styleId="Normlnbezodsazen">
    <w:name w:val="Normální bez odsazení"/>
    <w:basedOn w:val="Normln"/>
    <w:rsid w:val="00CF3295"/>
    <w:pPr>
      <w:widowControl w:val="0"/>
      <w:spacing w:line="360" w:lineRule="auto"/>
    </w:pPr>
  </w:style>
  <w:style w:type="paragraph" w:styleId="Nzev">
    <w:name w:val="Title"/>
    <w:basedOn w:val="Normln"/>
    <w:qFormat/>
    <w:rsid w:val="00CF3295"/>
    <w:pPr>
      <w:jc w:val="center"/>
    </w:pPr>
    <w:rPr>
      <w:b/>
      <w:bCs/>
      <w:u w:val="single"/>
    </w:rPr>
  </w:style>
  <w:style w:type="paragraph" w:styleId="Titulek">
    <w:name w:val="caption"/>
    <w:basedOn w:val="Normln"/>
    <w:next w:val="Normln"/>
    <w:uiPriority w:val="35"/>
    <w:qFormat/>
    <w:rsid w:val="00CF3295"/>
  </w:style>
  <w:style w:type="paragraph" w:styleId="Textbubliny">
    <w:name w:val="Balloon Text"/>
    <w:basedOn w:val="Normln"/>
    <w:semiHidden/>
    <w:rsid w:val="00CF329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75790"/>
    <w:pPr>
      <w:shd w:val="clear" w:color="auto" w:fill="000080"/>
    </w:pPr>
    <w:rPr>
      <w:rFonts w:ascii="Tahoma" w:hAnsi="Tahoma" w:cs="Tahoma"/>
    </w:rPr>
  </w:style>
  <w:style w:type="paragraph" w:customStyle="1" w:styleId="Normln1">
    <w:name w:val="Norm?ln?1"/>
    <w:basedOn w:val="Normln"/>
    <w:rsid w:val="00CF3295"/>
    <w:pPr>
      <w:overflowPunct w:val="0"/>
      <w:spacing w:line="230" w:lineRule="auto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CF3295"/>
  </w:style>
  <w:style w:type="character" w:styleId="Znakapoznpodarou">
    <w:name w:val="footnote reference"/>
    <w:basedOn w:val="Standardnpsmoodstavce"/>
    <w:semiHidden/>
    <w:rsid w:val="00CF3295"/>
    <w:rPr>
      <w:vertAlign w:val="superscript"/>
    </w:rPr>
  </w:style>
  <w:style w:type="paragraph" w:customStyle="1" w:styleId="Odstavec">
    <w:name w:val="Odstavec"/>
    <w:basedOn w:val="Normln"/>
    <w:rsid w:val="00CF3295"/>
    <w:pPr>
      <w:widowControl w:val="0"/>
      <w:tabs>
        <w:tab w:val="left" w:pos="851"/>
      </w:tabs>
      <w:ind w:firstLine="425"/>
    </w:pPr>
  </w:style>
  <w:style w:type="paragraph" w:customStyle="1" w:styleId="Odpovdnost">
    <w:name w:val="Odpovědnost"/>
    <w:basedOn w:val="Normln"/>
    <w:rsid w:val="00CF3295"/>
    <w:pPr>
      <w:numPr>
        <w:ilvl w:val="12"/>
      </w:numPr>
      <w:autoSpaceDE/>
      <w:autoSpaceDN/>
      <w:adjustRightInd/>
      <w:spacing w:before="60" w:line="280" w:lineRule="exact"/>
      <w:ind w:left="397" w:firstLine="29"/>
    </w:pPr>
    <w:rPr>
      <w:i/>
      <w:iCs/>
    </w:rPr>
  </w:style>
  <w:style w:type="paragraph" w:customStyle="1" w:styleId="Projekty">
    <w:name w:val="Projekty"/>
    <w:basedOn w:val="Normln"/>
    <w:rsid w:val="00CF3295"/>
    <w:pPr>
      <w:tabs>
        <w:tab w:val="left" w:pos="969"/>
      </w:tabs>
      <w:autoSpaceDE/>
      <w:autoSpaceDN/>
      <w:adjustRightInd/>
      <w:ind w:left="969" w:hanging="969"/>
    </w:pPr>
    <w:rPr>
      <w:sz w:val="22"/>
      <w:szCs w:val="22"/>
    </w:rPr>
  </w:style>
  <w:style w:type="character" w:styleId="Odkaznakoment">
    <w:name w:val="annotation reference"/>
    <w:basedOn w:val="Standardnpsmoodstavce"/>
    <w:semiHidden/>
    <w:rsid w:val="00CF3295"/>
    <w:rPr>
      <w:sz w:val="16"/>
      <w:szCs w:val="16"/>
    </w:rPr>
  </w:style>
  <w:style w:type="paragraph" w:styleId="Textkomente">
    <w:name w:val="annotation text"/>
    <w:basedOn w:val="Normln"/>
    <w:semiHidden/>
    <w:rsid w:val="00CF3295"/>
  </w:style>
  <w:style w:type="paragraph" w:styleId="Pedmtkomente">
    <w:name w:val="annotation subject"/>
    <w:basedOn w:val="Textkomente"/>
    <w:next w:val="Textkomente"/>
    <w:semiHidden/>
    <w:rsid w:val="00CF3295"/>
    <w:rPr>
      <w:b/>
      <w:bCs/>
    </w:rPr>
  </w:style>
  <w:style w:type="paragraph" w:styleId="Textvbloku">
    <w:name w:val="Block Text"/>
    <w:basedOn w:val="Normln"/>
    <w:next w:val="Normln"/>
    <w:rsid w:val="00B42940"/>
    <w:rPr>
      <w:rFonts w:ascii="Arial" w:hAnsi="Arial"/>
    </w:rPr>
  </w:style>
  <w:style w:type="character" w:styleId="Hypertextovodkaz">
    <w:name w:val="Hyperlink"/>
    <w:basedOn w:val="Standardnpsmoodstavce"/>
    <w:uiPriority w:val="99"/>
    <w:rsid w:val="00611D13"/>
    <w:rPr>
      <w:color w:val="0000FF"/>
      <w:u w:val="single"/>
    </w:rPr>
  </w:style>
  <w:style w:type="table" w:styleId="Mkatabulky">
    <w:name w:val="Table Grid"/>
    <w:basedOn w:val="Normlntabulka"/>
    <w:rsid w:val="00C06F0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28418A"/>
    <w:rPr>
      <w:bCs/>
    </w:rPr>
  </w:style>
  <w:style w:type="paragraph" w:styleId="Odstavecseseznamem">
    <w:name w:val="List Paragraph"/>
    <w:basedOn w:val="Normln"/>
    <w:uiPriority w:val="34"/>
    <w:qFormat/>
    <w:rsid w:val="00D60EF4"/>
    <w:pPr>
      <w:autoSpaceDE/>
      <w:autoSpaceDN/>
      <w:adjustRightInd/>
      <w:ind w:left="720"/>
      <w:contextualSpacing/>
    </w:pPr>
  </w:style>
  <w:style w:type="paragraph" w:customStyle="1" w:styleId="Obyejntext">
    <w:name w:val="Obyčejný text"/>
    <w:basedOn w:val="Normln"/>
    <w:next w:val="Normln"/>
    <w:rsid w:val="00E228F6"/>
    <w:pPr>
      <w:autoSpaceDE/>
      <w:autoSpaceDN/>
      <w:adjustRightInd/>
      <w:ind w:firstLine="301"/>
    </w:pPr>
  </w:style>
  <w:style w:type="paragraph" w:customStyle="1" w:styleId="Default">
    <w:name w:val="Default"/>
    <w:rsid w:val="00AB0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67CF9"/>
  </w:style>
  <w:style w:type="paragraph" w:customStyle="1" w:styleId="Odstavecseseznamem1">
    <w:name w:val="Odstavec se seznamem1"/>
    <w:basedOn w:val="Normln"/>
    <w:rsid w:val="00561F00"/>
    <w:pPr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047F39"/>
    <w:pPr>
      <w:autoSpaceDE w:val="0"/>
      <w:autoSpaceDN w:val="0"/>
      <w:adjustRightInd w:val="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9B7735"/>
  </w:style>
  <w:style w:type="character" w:customStyle="1" w:styleId="ZkladntextodsazenChar">
    <w:name w:val="Základní text odsazený Char"/>
    <w:basedOn w:val="Standardnpsmoodstavce"/>
    <w:link w:val="Zkladntextodsazen"/>
    <w:rsid w:val="009B06D5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B06D5"/>
    <w:rPr>
      <w:sz w:val="24"/>
      <w:szCs w:val="24"/>
    </w:rPr>
  </w:style>
  <w:style w:type="paragraph" w:customStyle="1" w:styleId="go">
    <w:name w:val="go"/>
    <w:basedOn w:val="Normln"/>
    <w:rsid w:val="00A6190D"/>
    <w:pPr>
      <w:autoSpaceDE/>
      <w:autoSpaceDN/>
      <w:adjustRightInd/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Standardnpsmoodstavce"/>
    <w:rsid w:val="005E4628"/>
  </w:style>
  <w:style w:type="paragraph" w:styleId="Podtitul">
    <w:name w:val="Subtitle"/>
    <w:basedOn w:val="Normln"/>
    <w:next w:val="Normln"/>
    <w:link w:val="PodtitulChar"/>
    <w:qFormat/>
    <w:rsid w:val="0028418A"/>
    <w:pPr>
      <w:numPr>
        <w:ilvl w:val="1"/>
      </w:numPr>
      <w:ind w:firstLine="284"/>
    </w:pPr>
    <w:rPr>
      <w:rFonts w:eastAsiaTheme="majorEastAsia"/>
      <w:b/>
      <w:iCs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28418A"/>
    <w:rPr>
      <w:rFonts w:eastAsiaTheme="majorEastAsia"/>
      <w:b/>
      <w:iCs/>
      <w:spacing w:val="15"/>
      <w:sz w:val="28"/>
      <w:szCs w:val="28"/>
    </w:rPr>
  </w:style>
  <w:style w:type="character" w:styleId="Nzevknihy">
    <w:name w:val="Book Title"/>
    <w:basedOn w:val="Standardnpsmoodstavce"/>
    <w:uiPriority w:val="33"/>
    <w:qFormat/>
    <w:rsid w:val="0028418A"/>
    <w:rPr>
      <w:b/>
      <w:bCs/>
      <w:i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900"/>
    <w:pPr>
      <w:keepNext/>
      <w:keepLines/>
      <w:numPr>
        <w:numId w:val="0"/>
      </w:numPr>
      <w:suppressAutoHyphens w:val="0"/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2490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24900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12490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61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68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4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7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zyk.CBU\Desktop\Grafy%20bezpe&#269;nost\Grafy%20dal&#353;&#23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zyk.CBU\Desktop\Grafy%20bezpe&#269;nost\Grafy%20dal&#353;&#23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zyk.CBU\Desktop\Grafy%20bezpe&#269;nost\Grafy%20dal&#353;&#237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'úrazy 2000_2012'!$C$42</c:f>
              <c:strCache>
                <c:ptCount val="1"/>
                <c:pt idx="0">
                  <c:v>počet pracovních úrazů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'úrazy 2000_2012'!$H$41:$R$41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'úrazy 2000_2012'!$H$42:$R$42</c:f>
              <c:numCache>
                <c:formatCode>General</c:formatCode>
                <c:ptCount val="11"/>
                <c:pt idx="0">
                  <c:v>1606</c:v>
                </c:pt>
                <c:pt idx="1">
                  <c:v>1640</c:v>
                </c:pt>
                <c:pt idx="2">
                  <c:v>1323</c:v>
                </c:pt>
                <c:pt idx="3">
                  <c:v>1211</c:v>
                </c:pt>
                <c:pt idx="4">
                  <c:v>1039</c:v>
                </c:pt>
                <c:pt idx="5">
                  <c:v>898</c:v>
                </c:pt>
                <c:pt idx="6">
                  <c:v>815</c:v>
                </c:pt>
                <c:pt idx="7">
                  <c:v>752</c:v>
                </c:pt>
                <c:pt idx="8">
                  <c:v>735</c:v>
                </c:pt>
                <c:pt idx="9">
                  <c:v>608</c:v>
                </c:pt>
                <c:pt idx="10">
                  <c:v>604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12818216"/>
        <c:axId val="312822136"/>
      </c:barChart>
      <c:catAx>
        <c:axId val="312818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312822136"/>
        <c:crosses val="autoZero"/>
        <c:auto val="1"/>
        <c:lblAlgn val="ctr"/>
        <c:lblOffset val="100"/>
        <c:noMultiLvlLbl val="0"/>
      </c:catAx>
      <c:valAx>
        <c:axId val="312822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cs-CZ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</a:t>
                </a: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čet pracovních úrazů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312818216"/>
        <c:crosses val="autoZero"/>
        <c:crossBetween val="between"/>
      </c:valAx>
      <c:spPr>
        <a:noFill/>
        <a:ln w="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9050" cap="sq" cmpd="sng">
      <a:solidFill>
        <a:sysClr val="windowText" lastClr="000000"/>
      </a:solidFill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052817329435988E-2"/>
          <c:y val="5.6410256410256411E-2"/>
          <c:w val="0.88445459500059154"/>
          <c:h val="0.82082051282051338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40,4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30,1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27,8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25,6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22,9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24,9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List1!$B$91:$L$91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List1!$B$92:$L$92</c:f>
              <c:numCache>
                <c:formatCode>General</c:formatCode>
                <c:ptCount val="11"/>
                <c:pt idx="0">
                  <c:v>40.499306518724012</c:v>
                </c:pt>
                <c:pt idx="1">
                  <c:v>43.386243386243038</c:v>
                </c:pt>
                <c:pt idx="2">
                  <c:v>35.312016228046758</c:v>
                </c:pt>
                <c:pt idx="3">
                  <c:v>33.479859555997656</c:v>
                </c:pt>
                <c:pt idx="4">
                  <c:v>32.516508622038621</c:v>
                </c:pt>
                <c:pt idx="5">
                  <c:v>30.126140633386989</c:v>
                </c:pt>
                <c:pt idx="6">
                  <c:v>27.81759847088539</c:v>
                </c:pt>
                <c:pt idx="7">
                  <c:v>26.057728958037352</c:v>
                </c:pt>
                <c:pt idx="8">
                  <c:v>25.670578373847441</c:v>
                </c:pt>
                <c:pt idx="9">
                  <c:v>22.961592205143504</c:v>
                </c:pt>
                <c:pt idx="10">
                  <c:v>24.990690554015472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2822528"/>
        <c:axId val="312823704"/>
      </c:lineChart>
      <c:catAx>
        <c:axId val="31282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312823704"/>
        <c:crosses val="autoZero"/>
        <c:auto val="1"/>
        <c:lblAlgn val="ctr"/>
        <c:lblOffset val="100"/>
        <c:noMultiLvlLbl val="0"/>
      </c:catAx>
      <c:valAx>
        <c:axId val="312823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cs-CZ" sz="10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Počet úrazů/1000 zaměstnanců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312822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33564304461917"/>
          <c:y val="3.0492030492030493E-2"/>
          <c:w val="0.71464692913385863"/>
          <c:h val="0.40306295392909708"/>
        </c:manualLayout>
      </c:layout>
      <c:barChart>
        <c:barDir val="col"/>
        <c:grouping val="clustered"/>
        <c:varyColors val="0"/>
        <c:ser>
          <c:idx val="0"/>
          <c:order val="0"/>
          <c:tx>
            <c:v>Hlubinné dobývání uhlí</c:v>
          </c:tx>
          <c:spPr>
            <a:solidFill>
              <a:schemeClr val="tx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další.xlsx]List1'!$B$61</c:f>
              <c:numCache>
                <c:formatCode>General</c:formatCode>
                <c:ptCount val="1"/>
                <c:pt idx="0">
                  <c:v>228</c:v>
                </c:pt>
              </c:numCache>
            </c:numRef>
          </c:val>
        </c:ser>
        <c:ser>
          <c:idx val="1"/>
          <c:order val="1"/>
          <c:tx>
            <c:v>Povrchové dobývání uhlí</c:v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další.xlsx]List1'!$C$61</c:f>
              <c:numCache>
                <c:formatCode>General</c:formatCode>
                <c:ptCount val="1"/>
                <c:pt idx="0">
                  <c:v>141</c:v>
                </c:pt>
              </c:numCache>
            </c:numRef>
          </c:val>
        </c:ser>
        <c:ser>
          <c:idx val="2"/>
          <c:order val="2"/>
          <c:tx>
            <c:v>Dobývání rudních surovin</c:v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další.xlsx]List1'!$D$61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ser>
          <c:idx val="3"/>
          <c:order val="3"/>
          <c:tx>
            <c:v>Dobývání nerudních surovin - podzemí</c:v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další.xlsx]List1'!$E$61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v>Dobývání nerudních surovin - povrch</c:v>
          </c:tx>
          <c:spPr>
            <a:gradFill rotWithShape="1">
              <a:gsLst>
                <a:gs pos="0">
                  <a:schemeClr val="accent5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další.xlsx]List1'!$F$61</c:f>
              <c:numCache>
                <c:formatCode>General</c:formatCode>
                <c:ptCount val="1"/>
                <c:pt idx="0">
                  <c:v>122</c:v>
                </c:pt>
              </c:numCache>
            </c:numRef>
          </c:val>
        </c:ser>
        <c:ser>
          <c:idx val="5"/>
          <c:order val="5"/>
          <c:tx>
            <c:v>Těžba nafty a plynu</c:v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další.xlsx]List1'!$G$61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6"/>
          <c:order val="6"/>
          <c:tx>
            <c:v>Ostatní hornická činnost</c:v>
          </c:tx>
          <c:spPr>
            <a:gradFill rotWithShape="1">
              <a:gsLst>
                <a:gs pos="0">
                  <a:schemeClr val="accent6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další.xlsx]List1'!$H$61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7"/>
          <c:order val="7"/>
          <c:tx>
            <c:v>Činnost prováděná hornickým způsobem - podzemí</c:v>
          </c:tx>
          <c:spPr>
            <a:gradFill rotWithShape="1">
              <a:gsLst>
                <a:gs pos="0">
                  <a:schemeClr val="accent5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další.xlsx]List1'!$I$61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8"/>
          <c:order val="8"/>
          <c:tx>
            <c:v>Činnost prováděná hornickým způsobem - na povrchu</c:v>
          </c:tx>
          <c:spPr>
            <a:gradFill rotWithShape="1">
              <a:gsLst>
                <a:gs pos="0">
                  <a:schemeClr val="accent4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další.xlsx]List1'!$J$61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9"/>
          <c:order val="9"/>
          <c:tx>
            <c:v>Výroba a používání výbušnin </c:v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další.xlsx]List1'!$K$61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10"/>
          <c:order val="10"/>
          <c:tx>
            <c:v>Celkem </c:v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'[Grafy další.xlsx]List1'!$L$61</c:f>
              <c:numCache>
                <c:formatCode>General</c:formatCode>
                <c:ptCount val="1"/>
                <c:pt idx="0">
                  <c:v>604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12811944"/>
        <c:axId val="312813512"/>
      </c:barChart>
      <c:catAx>
        <c:axId val="3128119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cs-CZ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Počty úrazů dle jednotlivých činností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one"/>
        <c:crossAx val="312813512"/>
        <c:crosses val="autoZero"/>
        <c:auto val="1"/>
        <c:lblAlgn val="ctr"/>
        <c:lblOffset val="100"/>
        <c:noMultiLvlLbl val="0"/>
      </c:catAx>
      <c:valAx>
        <c:axId val="312813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cs-CZ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Počet úrazů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312811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6.666666666666668E-2"/>
          <c:y val="0.465256363912596"/>
          <c:w val="0.77557753280840191"/>
          <c:h val="0.516114228236440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Výskyt pracovních úrazů (mimo smrtelných) dle zdrojů</a:t>
            </a:r>
          </a:p>
        </c:rich>
      </c:tx>
      <c:layout>
        <c:manualLayout>
          <c:xMode val="edge"/>
          <c:yMode val="edge"/>
          <c:x val="0.15068744531933584"/>
          <c:y val="2.777777777777804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1889915494667218E-2"/>
          <c:y val="0.11672862453531622"/>
          <c:w val="0.89691547949569883"/>
          <c:h val="0.37205807452507222"/>
        </c:manualLayout>
      </c:layout>
      <c:barChart>
        <c:barDir val="col"/>
        <c:grouping val="clustered"/>
        <c:varyColors val="0"/>
        <c:ser>
          <c:idx val="0"/>
          <c:order val="0"/>
          <c:tx>
            <c:v>Dopravní prostředek</c:v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0"/>
                      <a:t>3,1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List1!$L$21</c:f>
              <c:numCache>
                <c:formatCode>General</c:formatCode>
                <c:ptCount val="1"/>
                <c:pt idx="0">
                  <c:v>3.1</c:v>
                </c:pt>
              </c:numCache>
            </c:numRef>
          </c:val>
        </c:ser>
        <c:ser>
          <c:idx val="1"/>
          <c:order val="1"/>
          <c:tx>
            <c:v>Stroje a zařízení přenosná nebo mobilní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List1!$M$21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</c:ser>
        <c:ser>
          <c:idx val="2"/>
          <c:order val="2"/>
          <c:tx>
            <c:v>Materiál, břemena, předměty (pád, přiražení, odlétnutí, náraz, zavalení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List1!$N$21</c:f>
              <c:numCache>
                <c:formatCode>General</c:formatCode>
                <c:ptCount val="1"/>
                <c:pt idx="0">
                  <c:v>44.7</c:v>
                </c:pt>
              </c:numCache>
            </c:numRef>
          </c:val>
        </c:ser>
        <c:ser>
          <c:idx val="3"/>
          <c:order val="3"/>
          <c:tx>
            <c:v>Pád na rovině, z výšky, do hloubky, propadnutí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List1!$O$21</c:f>
              <c:numCache>
                <c:formatCode>General</c:formatCode>
                <c:ptCount val="1"/>
                <c:pt idx="0">
                  <c:v>30.3</c:v>
                </c:pt>
              </c:numCache>
            </c:numRef>
          </c:val>
        </c:ser>
        <c:ser>
          <c:idx val="4"/>
          <c:order val="4"/>
          <c:tx>
            <c:v>Nástroj, přístroj, nářadí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List1!$P$21</c:f>
              <c:numCache>
                <c:formatCode>General</c:formatCode>
                <c:ptCount val="1"/>
                <c:pt idx="0">
                  <c:v>5.4</c:v>
                </c:pt>
              </c:numCache>
            </c:numRef>
          </c:val>
        </c:ser>
        <c:ser>
          <c:idx val="5"/>
          <c:order val="5"/>
          <c:tx>
            <c:v>Průmyslové škodliviny, chemické látky, biologické činitele</c:v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List1!$Q$21</c:f>
              <c:numCache>
                <c:formatCode>General</c:formatCode>
                <c:ptCount val="1"/>
                <c:pt idx="0">
                  <c:v>0.2</c:v>
                </c:pt>
              </c:numCache>
            </c:numRef>
          </c:val>
        </c:ser>
        <c:ser>
          <c:idx val="6"/>
          <c:order val="6"/>
          <c:tx>
            <c:v>Horké látky a předměty, oheň, výbušniny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List1!$R$21</c:f>
              <c:numCache>
                <c:formatCode>General</c:formatCode>
                <c:ptCount val="1"/>
                <c:pt idx="0">
                  <c:v>1.5</c:v>
                </c:pt>
              </c:numCache>
            </c:numRef>
          </c:val>
        </c:ser>
        <c:ser>
          <c:idx val="7"/>
          <c:order val="7"/>
          <c:tx>
            <c:v>Stroje a zařízení stabilní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List1!$S$21</c:f>
              <c:numCache>
                <c:formatCode>General</c:formatCode>
                <c:ptCount val="1"/>
                <c:pt idx="0">
                  <c:v>2.4</c:v>
                </c:pt>
              </c:numCache>
            </c:numRef>
          </c:val>
        </c:ser>
        <c:ser>
          <c:idx val="8"/>
          <c:order val="8"/>
          <c:tx>
            <c:v>Lidé, zvířata nebo přírodní živly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List1!$T$21</c:f>
              <c:numCache>
                <c:formatCode>General</c:formatCode>
                <c:ptCount val="1"/>
                <c:pt idx="0">
                  <c:v>1.4</c:v>
                </c:pt>
              </c:numCache>
            </c:numRef>
          </c:val>
        </c:ser>
        <c:ser>
          <c:idx val="9"/>
          <c:order val="9"/>
          <c:tx>
            <c:v>Eletrická energie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List1!$U$21</c:f>
              <c:numCache>
                <c:formatCode>General</c:formatCode>
                <c:ptCount val="1"/>
                <c:pt idx="0">
                  <c:v>0.2</c:v>
                </c:pt>
              </c:numCache>
            </c:numRef>
          </c:val>
        </c:ser>
        <c:ser>
          <c:idx val="10"/>
          <c:order val="10"/>
          <c:tx>
            <c:v>Jiný, blíže nespecifikovaný zdroj</c:v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Zdroje pracovních úrazů</c:v>
              </c:pt>
            </c:strLit>
          </c:cat>
          <c:val>
            <c:numRef>
              <c:f>List1!$V$21</c:f>
              <c:numCache>
                <c:formatCode>General</c:formatCode>
                <c:ptCount val="1"/>
                <c:pt idx="0">
                  <c:v>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12824096"/>
        <c:axId val="312824488"/>
      </c:barChart>
      <c:catAx>
        <c:axId val="31282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312824488"/>
        <c:crosses val="autoZero"/>
        <c:auto val="1"/>
        <c:lblAlgn val="ctr"/>
        <c:lblOffset val="100"/>
        <c:noMultiLvlLbl val="0"/>
      </c:catAx>
      <c:valAx>
        <c:axId val="312824488"/>
        <c:scaling>
          <c:orientation val="minMax"/>
          <c:max val="4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cs-CZ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Procentuální zastoupení (%)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31282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55928226443813478"/>
          <c:w val="0.72466281310212177"/>
          <c:h val="0.44071773556186516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ysClr val="windowText" lastClr="000000"/>
      </a:solidFill>
      <a:prstDash val="solid"/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Výskyt pracovních úrazů (mimo smrtelných) dle příčin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0237875695190178E-2"/>
          <c:y val="7.0165198202490273E-2"/>
          <c:w val="0.88684545387885061"/>
          <c:h val="0.46865185698953077"/>
        </c:manualLayout>
      </c:layout>
      <c:barChart>
        <c:barDir val="col"/>
        <c:grouping val="clustered"/>
        <c:varyColors val="0"/>
        <c:ser>
          <c:idx val="0"/>
          <c:order val="0"/>
          <c:tx>
            <c:v>Pro poruchu nebo vadný stav některého ze zdrojů úrazu</c:v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Příčiny pracovních úrazů</c:v>
              </c:pt>
            </c:strLit>
          </c:cat>
          <c:val>
            <c:numRef>
              <c:f>List1!$L$3</c:f>
              <c:numCache>
                <c:formatCode>General</c:formatCode>
                <c:ptCount val="1"/>
                <c:pt idx="0">
                  <c:v>1.1000000000000001</c:v>
                </c:pt>
              </c:numCache>
            </c:numRef>
          </c:val>
        </c:ser>
        <c:ser>
          <c:idx val="1"/>
          <c:order val="1"/>
          <c:tx>
            <c:v>Pro špatné nebo nedostatečné vyhodnocení rizika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Příčiny pracovních úrazů</c:v>
              </c:pt>
            </c:strLit>
          </c:cat>
          <c:val>
            <c:numRef>
              <c:f>List1!$M$3</c:f>
              <c:numCache>
                <c:formatCode>General</c:formatCode>
                <c:ptCount val="1"/>
                <c:pt idx="0">
                  <c:v>16.5</c:v>
                </c:pt>
              </c:numCache>
            </c:numRef>
          </c:val>
        </c:ser>
        <c:ser>
          <c:idx val="2"/>
          <c:order val="2"/>
          <c:tx>
            <c:v>Pro závady na pracovišti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Příčiny pracovních úrazů</c:v>
              </c:pt>
            </c:strLit>
          </c:cat>
          <c:val>
            <c:numRef>
              <c:f>List1!$N$3</c:f>
              <c:numCache>
                <c:formatCode>General</c:formatCode>
                <c:ptCount val="1"/>
                <c:pt idx="0">
                  <c:v>0.70000000000000062</c:v>
                </c:pt>
              </c:numCache>
            </c:numRef>
          </c:val>
        </c:ser>
        <c:ser>
          <c:idx val="3"/>
          <c:order val="3"/>
          <c:tx>
            <c:v>Pro nedostatečné osobní zajištění zaměstnance, včetně osobních ochranných pracovních prostředků</c:v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Příčiny pracovních úrazů</c:v>
              </c:pt>
            </c:strLit>
          </c:cat>
          <c:val>
            <c:numRef>
              <c:f>List1!$O$3</c:f>
              <c:numCache>
                <c:formatCode>General</c:formatCode>
                <c:ptCount val="1"/>
                <c:pt idx="0">
                  <c:v>0.4</c:v>
                </c:pt>
              </c:numCache>
            </c:numRef>
          </c:val>
        </c:ser>
        <c:ser>
          <c:idx val="4"/>
          <c:order val="4"/>
          <c:tx>
            <c:v>Pro porušení předpisů vztahujících se k práci nebo pokynů zaměstnavatele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Příčiny pracovních úrazů</c:v>
              </c:pt>
            </c:strLit>
          </c:cat>
          <c:val>
            <c:numRef>
              <c:f>List1!$P$3</c:f>
              <c:numCache>
                <c:formatCode>General</c:formatCode>
                <c:ptCount val="1"/>
                <c:pt idx="0">
                  <c:v>18.600000000000001</c:v>
                </c:pt>
              </c:numCache>
            </c:numRef>
          </c:val>
        </c:ser>
        <c:ser>
          <c:idx val="5"/>
          <c:order val="5"/>
          <c:tx>
            <c:v>Pro nepředvidatelné riziko práce nebo selhání lidského činitele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Příčiny pracovních úrazů</c:v>
              </c:pt>
            </c:strLit>
          </c:cat>
          <c:val>
            <c:numRef>
              <c:f>List1!$Q$3</c:f>
              <c:numCache>
                <c:formatCode>General</c:formatCode>
                <c:ptCount val="1"/>
                <c:pt idx="0">
                  <c:v>50.9</c:v>
                </c:pt>
              </c:numCache>
            </c:numRef>
          </c:val>
        </c:ser>
        <c:ser>
          <c:idx val="6"/>
          <c:order val="6"/>
          <c:tx>
            <c:v>Pro jiný, blíže nespecifikovaný důvod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Příčiny pracovních úrazů</c:v>
              </c:pt>
            </c:strLit>
          </c:cat>
          <c:val>
            <c:numRef>
              <c:f>List1!$R$3</c:f>
              <c:numCache>
                <c:formatCode>General</c:formatCode>
                <c:ptCount val="1"/>
                <c:pt idx="0">
                  <c:v>11.8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87610712"/>
        <c:axId val="587614632"/>
      </c:barChart>
      <c:catAx>
        <c:axId val="587610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87614632"/>
        <c:crosses val="autoZero"/>
        <c:auto val="1"/>
        <c:lblAlgn val="ctr"/>
        <c:lblOffset val="100"/>
        <c:noMultiLvlLbl val="0"/>
      </c:catAx>
      <c:valAx>
        <c:axId val="587614632"/>
        <c:scaling>
          <c:orientation val="minMax"/>
          <c:max val="55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Procentuální zastoupení  (%)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8761071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302503986631745E-2"/>
          <c:y val="0.60722961559964284"/>
          <c:w val="0.87139499202673765"/>
          <c:h val="0.39277038440036088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 sz="1400" b="1" i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Vývoj smrtelných pracovních úrazů v letech 2004 - 2014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 sz="1400" b="1" i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podle činností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3062331932434864E-2"/>
          <c:y val="0.15652173913043563"/>
          <c:w val="0.88444278054200043"/>
          <c:h val="0.68353223110538297"/>
        </c:manualLayout>
      </c:layout>
      <c:lineChart>
        <c:grouping val="standard"/>
        <c:varyColors val="0"/>
        <c:ser>
          <c:idx val="0"/>
          <c:order val="0"/>
          <c:tx>
            <c:v>SÚ celkem</c:v>
          </c:tx>
          <c:spPr>
            <a:ln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List1!$H$5:$R$5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List1!$H$10:$R$10</c:f>
              <c:numCache>
                <c:formatCode>General</c:formatCode>
                <c:ptCount val="11"/>
                <c:pt idx="0">
                  <c:v>21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  <c:pt idx="4">
                  <c:v>12</c:v>
                </c:pt>
                <c:pt idx="5">
                  <c:v>7</c:v>
                </c:pt>
                <c:pt idx="6">
                  <c:v>5</c:v>
                </c:pt>
                <c:pt idx="7">
                  <c:v>11</c:v>
                </c:pt>
                <c:pt idx="8">
                  <c:v>8</c:v>
                </c:pt>
                <c:pt idx="9">
                  <c:v>4</c:v>
                </c:pt>
                <c:pt idx="10">
                  <c:v>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List1!$C$9</c:f>
              <c:strCache>
                <c:ptCount val="1"/>
                <c:pt idx="0">
                  <c:v>Ostatní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List1!$H$5:$R$5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List1!$H$9:$R$9</c:f>
              <c:numCache>
                <c:formatCode>General</c:formatCode>
                <c:ptCount val="11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List1!$C$8</c:f>
              <c:strCache>
                <c:ptCount val="1"/>
                <c:pt idx="0">
                  <c:v>Rudy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List1!$H$5:$R$5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List1!$H$8:$R$8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List1!$C$7</c:f>
              <c:strCache>
                <c:ptCount val="1"/>
                <c:pt idx="0">
                  <c:v>Hnědé uhlí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List1!$H$5:$R$5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List1!$H$7:$R$7</c:f>
              <c:numCache>
                <c:formatCode>General</c:formatCode>
                <c:ptCount val="11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List1!$C$6</c:f>
              <c:strCache>
                <c:ptCount val="1"/>
                <c:pt idx="0">
                  <c:v>Černé uhlí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List1!$H$5:$R$5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List1!$H$6:$R$6</c:f>
              <c:numCache>
                <c:formatCode>General</c:formatCode>
                <c:ptCount val="11"/>
                <c:pt idx="0">
                  <c:v>14</c:v>
                </c:pt>
                <c:pt idx="1">
                  <c:v>6</c:v>
                </c:pt>
                <c:pt idx="2">
                  <c:v>3</c:v>
                </c:pt>
                <c:pt idx="3">
                  <c:v>4</c:v>
                </c:pt>
                <c:pt idx="4">
                  <c:v>7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5</c:v>
                </c:pt>
                <c:pt idx="9">
                  <c:v>2</c:v>
                </c:pt>
                <c:pt idx="10">
                  <c:v>9</c:v>
                </c:pt>
              </c:numCache>
            </c:numRef>
          </c:val>
          <c:smooth val="0"/>
        </c:ser>
        <c:ser>
          <c:idx val="5"/>
          <c:order val="5"/>
          <c:tx>
            <c:v>SÚ celkem</c:v>
          </c:tx>
          <c:marker>
            <c:symbol val="none"/>
          </c:marker>
          <c:val>
            <c:numLit>
              <c:formatCode>General</c:formatCode>
              <c:ptCount val="1"/>
              <c:pt idx="0">
                <c:v>1</c:v>
              </c:pt>
            </c:numLit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5711432"/>
        <c:axId val="825081312"/>
      </c:lineChart>
      <c:catAx>
        <c:axId val="285711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cs-CZ"/>
          </a:p>
        </c:txPr>
        <c:crossAx val="825081312"/>
        <c:crosses val="autoZero"/>
        <c:auto val="1"/>
        <c:lblAlgn val="ctr"/>
        <c:lblOffset val="100"/>
        <c:noMultiLvlLbl val="0"/>
      </c:catAx>
      <c:valAx>
        <c:axId val="8250813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Počet smrtelných úrazů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cs-CZ"/>
          </a:p>
        </c:txPr>
        <c:crossAx val="285711432"/>
        <c:crosses val="autoZero"/>
        <c:crossBetween val="between"/>
      </c:valAx>
      <c:spPr>
        <a:noFill/>
        <a:ln>
          <a:solidFill>
            <a:srgbClr val="4F81BD">
              <a:alpha val="79000"/>
            </a:srgbClr>
          </a:solidFill>
        </a:ln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8.6405831006120634E-2"/>
          <c:y val="0.91414291128047565"/>
          <c:w val="0.85155117546713976"/>
          <c:h val="6.4466714387974494E-2"/>
        </c:manualLayout>
      </c:layout>
      <c:overlay val="0"/>
      <c:txPr>
        <a:bodyPr/>
        <a:lstStyle/>
        <a:p>
          <a:pPr>
            <a:defRPr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cs-CZ"/>
        </a:p>
      </c:txPr>
    </c:legend>
    <c:plotVisOnly val="0"/>
    <c:dispBlanksAs val="zero"/>
    <c:showDLblsOverMax val="0"/>
  </c:chart>
  <c:spPr>
    <a:ln w="19050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6C21-7433-41EA-A2C5-08B54F04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7082</Words>
  <Characters>41786</Characters>
  <Application>Microsoft Office Word</Application>
  <DocSecurity>0</DocSecurity>
  <Lines>348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stavu bezpečnosti v hornictví 2009</vt:lpstr>
    </vt:vector>
  </TitlesOfParts>
  <Company>ČBÚ Praha</Company>
  <LinksUpToDate>false</LinksUpToDate>
  <CharactersWithSpaces>48771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stavu bezpečnosti v hornictví 2009</dc:title>
  <dc:creator>Ing. Malíř</dc:creator>
  <cp:lastModifiedBy>Bohuslav Machek</cp:lastModifiedBy>
  <cp:revision>2</cp:revision>
  <cp:lastPrinted>2015-06-23T05:47:00Z</cp:lastPrinted>
  <dcterms:created xsi:type="dcterms:W3CDTF">2018-04-23T11:34:00Z</dcterms:created>
  <dcterms:modified xsi:type="dcterms:W3CDTF">2018-04-23T11:34:00Z</dcterms:modified>
</cp:coreProperties>
</file>