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253902592"/>
        <w:docPartObj>
          <w:docPartGallery w:val="Cover Pages"/>
          <w:docPartUnique/>
        </w:docPartObj>
      </w:sdtPr>
      <w:sdtEndPr>
        <w:rPr>
          <w:b/>
          <w:bCs/>
        </w:rPr>
      </w:sdtEndPr>
      <w:sdtContent>
        <w:p w:rsidR="008820DC" w:rsidRDefault="008820DC" w:rsidP="00026A81">
          <w:pPr>
            <w:jc w:val="right"/>
          </w:pPr>
        </w:p>
        <w:p w:rsidR="004D4A31" w:rsidRDefault="004D4A31"/>
        <w:p w:rsidR="004D4A31" w:rsidRDefault="004D4A31"/>
        <w:p w:rsidR="003E0146" w:rsidRDefault="003E0146" w:rsidP="00750AD9">
          <w:pPr>
            <w:ind w:left="851"/>
            <w:rPr>
              <w:b/>
              <w:color w:val="FF0000"/>
              <w:sz w:val="64"/>
              <w:szCs w:val="64"/>
            </w:rPr>
          </w:pPr>
        </w:p>
        <w:p w:rsidR="007C5D57" w:rsidRPr="00473112" w:rsidRDefault="007C5D57" w:rsidP="002E04A4">
          <w:pPr>
            <w:ind w:left="-1418"/>
            <w:rPr>
              <w:b/>
              <w:color w:val="006600"/>
              <w:sz w:val="72"/>
              <w:szCs w:val="72"/>
            </w:rPr>
          </w:pPr>
          <w:r w:rsidRPr="00473112">
            <w:rPr>
              <w:b/>
              <w:color w:val="006600"/>
              <w:sz w:val="72"/>
              <w:szCs w:val="72"/>
            </w:rPr>
            <w:t xml:space="preserve">Informace </w:t>
          </w:r>
        </w:p>
        <w:p w:rsidR="004D4A31" w:rsidRPr="00473112" w:rsidRDefault="004D4A31" w:rsidP="002E04A4">
          <w:pPr>
            <w:ind w:left="-1418"/>
            <w:rPr>
              <w:b/>
              <w:color w:val="006600"/>
              <w:sz w:val="72"/>
              <w:szCs w:val="72"/>
            </w:rPr>
          </w:pPr>
          <w:r w:rsidRPr="00473112">
            <w:rPr>
              <w:b/>
              <w:color w:val="006600"/>
              <w:sz w:val="72"/>
              <w:szCs w:val="72"/>
            </w:rPr>
            <w:t>o stavu bezp</w:t>
          </w:r>
          <w:r w:rsidR="001077B7" w:rsidRPr="00473112">
            <w:rPr>
              <w:b/>
              <w:color w:val="006600"/>
              <w:sz w:val="72"/>
              <w:szCs w:val="72"/>
            </w:rPr>
            <w:t>ečnosti v </w:t>
          </w:r>
          <w:r w:rsidR="003E0146" w:rsidRPr="00473112">
            <w:rPr>
              <w:b/>
              <w:color w:val="006600"/>
              <w:sz w:val="72"/>
              <w:szCs w:val="72"/>
            </w:rPr>
            <w:t>horni</w:t>
          </w:r>
          <w:r w:rsidR="0070363A" w:rsidRPr="00473112">
            <w:rPr>
              <w:b/>
              <w:color w:val="006600"/>
              <w:sz w:val="72"/>
              <w:szCs w:val="72"/>
            </w:rPr>
            <w:t>c</w:t>
          </w:r>
          <w:r w:rsidR="001077B7" w:rsidRPr="00473112">
            <w:rPr>
              <w:b/>
              <w:color w:val="006600"/>
              <w:sz w:val="72"/>
              <w:szCs w:val="72"/>
            </w:rPr>
            <w:t xml:space="preserve">tví </w:t>
          </w:r>
          <w:r w:rsidR="00DF76C6" w:rsidRPr="00473112">
            <w:rPr>
              <w:b/>
              <w:color w:val="006600"/>
              <w:sz w:val="72"/>
              <w:szCs w:val="72"/>
            </w:rPr>
            <w:br/>
          </w:r>
          <w:r w:rsidR="002E04A4" w:rsidRPr="00473112">
            <w:rPr>
              <w:b/>
              <w:color w:val="006600"/>
              <w:sz w:val="72"/>
              <w:szCs w:val="72"/>
            </w:rPr>
            <w:t xml:space="preserve">a při nakládání </w:t>
          </w:r>
          <w:r w:rsidR="001077B7" w:rsidRPr="00473112">
            <w:rPr>
              <w:b/>
              <w:color w:val="006600"/>
              <w:sz w:val="72"/>
              <w:szCs w:val="72"/>
            </w:rPr>
            <w:t xml:space="preserve">s výbušninami </w:t>
          </w:r>
        </w:p>
        <w:p w:rsidR="003E0146" w:rsidRPr="00473112" w:rsidRDefault="003E0146" w:rsidP="002E04A4">
          <w:pPr>
            <w:ind w:left="-1418"/>
            <w:rPr>
              <w:b/>
              <w:color w:val="006600"/>
              <w:sz w:val="72"/>
              <w:szCs w:val="72"/>
            </w:rPr>
          </w:pPr>
        </w:p>
        <w:p w:rsidR="001077B7" w:rsidRPr="00473112" w:rsidRDefault="001077B7" w:rsidP="002E04A4">
          <w:pPr>
            <w:ind w:left="-1418"/>
            <w:rPr>
              <w:color w:val="006600"/>
              <w:sz w:val="72"/>
              <w:szCs w:val="72"/>
            </w:rPr>
          </w:pPr>
          <w:r w:rsidRPr="00473112">
            <w:rPr>
              <w:b/>
              <w:color w:val="006600"/>
              <w:sz w:val="72"/>
              <w:szCs w:val="72"/>
            </w:rPr>
            <w:t>2017</w:t>
          </w:r>
        </w:p>
        <w:p w:rsidR="008820DC" w:rsidRDefault="007864EC">
          <w:pPr>
            <w:rPr>
              <w:b/>
              <w:bCs/>
            </w:rPr>
          </w:pPr>
          <w:r>
            <w:rPr>
              <w:noProof/>
            </w:rPr>
            <w:drawing>
              <wp:anchor distT="0" distB="0" distL="114300" distR="114300" simplePos="0" relativeHeight="251680768" behindDoc="0" locked="0" layoutInCell="1" allowOverlap="1">
                <wp:simplePos x="0" y="0"/>
                <wp:positionH relativeFrom="column">
                  <wp:posOffset>-988060</wp:posOffset>
                </wp:positionH>
                <wp:positionV relativeFrom="page">
                  <wp:posOffset>8465820</wp:posOffset>
                </wp:positionV>
                <wp:extent cx="816610" cy="726440"/>
                <wp:effectExtent l="0" t="0" r="254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610" cy="72644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75648" behindDoc="0" locked="0" layoutInCell="1" allowOverlap="0">
                    <wp:simplePos x="0" y="0"/>
                    <wp:positionH relativeFrom="page">
                      <wp:posOffset>986790</wp:posOffset>
                    </wp:positionH>
                    <wp:positionV relativeFrom="margin">
                      <wp:posOffset>8559800</wp:posOffset>
                    </wp:positionV>
                    <wp:extent cx="6455410" cy="1038225"/>
                    <wp:effectExtent l="0" t="0" r="2540" b="9525"/>
                    <wp:wrapSquare wrapText="bothSides"/>
                    <wp:docPr id="15" name="Textové pole 15" descr="Kontaktní informace"/>
                    <wp:cNvGraphicFramePr/>
                    <a:graphic xmlns:a="http://schemas.openxmlformats.org/drawingml/2006/main">
                      <a:graphicData uri="http://schemas.microsoft.com/office/word/2010/wordprocessingShape">
                        <wps:wsp>
                          <wps:cNvSpPr txBox="1"/>
                          <wps:spPr>
                            <a:xfrm>
                              <a:off x="0" y="0"/>
                              <a:ext cx="645541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0DC" w:rsidRPr="00D73D7E" w:rsidRDefault="00423968">
                                <w:pPr>
                                  <w:pStyle w:val="Informannadpis"/>
                                  <w:jc w:val="left"/>
                                  <w:rPr>
                                    <w:color w:val="000000" w:themeColor="text1"/>
                                  </w:rPr>
                                </w:pPr>
                                <w:sdt>
                                  <w:sdtPr>
                                    <w:rPr>
                                      <w:color w:val="000000" w:themeColor="text1"/>
                                    </w:rPr>
                                    <w:alias w:val="Společnost"/>
                                    <w:tag w:val=""/>
                                    <w:id w:val="1735350181"/>
                                    <w:dataBinding w:prefixMappings="xmlns:ns0='http://schemas.openxmlformats.org/officeDocument/2006/extended-properties' " w:xpath="/ns0:Properties[1]/ns0:Company[1]" w:storeItemID="{6668398D-A668-4E3E-A5EB-62B293D839F1}"/>
                                    <w:text/>
                                  </w:sdtPr>
                                  <w:sdtEndPr/>
                                  <w:sdtContent>
                                    <w:r w:rsidR="00F76AAD" w:rsidRPr="00D73D7E">
                                      <w:rPr>
                                        <w:color w:val="000000" w:themeColor="text1"/>
                                      </w:rPr>
                                      <w:t>Český báňský úřad</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384"/>
                                  <w:gridCol w:w="3386"/>
                                  <w:gridCol w:w="3386"/>
                                </w:tblGrid>
                                <w:tr w:rsidR="00D73D7E" w:rsidRPr="00D73D7E">
                                  <w:trPr>
                                    <w:trHeight w:hRule="exact" w:val="144"/>
                                    <w:jc w:val="right"/>
                                  </w:trPr>
                                  <w:tc>
                                    <w:tcPr>
                                      <w:tcW w:w="1666" w:type="pct"/>
                                    </w:tcPr>
                                    <w:p w:rsidR="008820DC" w:rsidRPr="00D73D7E" w:rsidRDefault="008820DC">
                                      <w:pPr>
                                        <w:rPr>
                                          <w:color w:val="000000" w:themeColor="text1"/>
                                        </w:rPr>
                                      </w:pPr>
                                    </w:p>
                                  </w:tc>
                                  <w:tc>
                                    <w:tcPr>
                                      <w:tcW w:w="1667" w:type="pct"/>
                                    </w:tcPr>
                                    <w:p w:rsidR="008820DC" w:rsidRPr="00D73D7E" w:rsidRDefault="008820DC">
                                      <w:pPr>
                                        <w:rPr>
                                          <w:color w:val="000000" w:themeColor="text1"/>
                                        </w:rPr>
                                      </w:pPr>
                                    </w:p>
                                  </w:tc>
                                  <w:tc>
                                    <w:tcPr>
                                      <w:tcW w:w="1667" w:type="pct"/>
                                    </w:tcPr>
                                    <w:p w:rsidR="008820DC" w:rsidRPr="00D73D7E" w:rsidRDefault="008820DC">
                                      <w:pPr>
                                        <w:rPr>
                                          <w:color w:val="000000" w:themeColor="text1"/>
                                        </w:rPr>
                                      </w:pPr>
                                    </w:p>
                                  </w:tc>
                                </w:tr>
                                <w:tr w:rsidR="00D73D7E" w:rsidRPr="00D73D7E">
                                  <w:trPr>
                                    <w:jc w:val="right"/>
                                  </w:trPr>
                                  <w:tc>
                                    <w:tcPr>
                                      <w:tcW w:w="1666" w:type="pct"/>
                                      <w:tcMar>
                                        <w:bottom w:w="144" w:type="dxa"/>
                                      </w:tcMar>
                                    </w:tcPr>
                                    <w:p w:rsidR="008820DC" w:rsidRPr="00D73D7E" w:rsidRDefault="008820DC">
                                      <w:pPr>
                                        <w:pStyle w:val="Zpat1"/>
                                        <w:rPr>
                                          <w:color w:val="000000" w:themeColor="text1"/>
                                        </w:rPr>
                                      </w:pPr>
                                      <w:r w:rsidRPr="00D73D7E">
                                        <w:rPr>
                                          <w:b/>
                                          <w:bCs/>
                                          <w:color w:val="000000" w:themeColor="text1"/>
                                        </w:rPr>
                                        <w:t>Telefon</w:t>
                                      </w:r>
                                      <w:r w:rsidRPr="00D73D7E">
                                        <w:rPr>
                                          <w:color w:val="000000" w:themeColor="text1"/>
                                        </w:rPr>
                                        <w:t xml:space="preserve"> </w:t>
                                      </w:r>
                                      <w:sdt>
                                        <w:sdtPr>
                                          <w:rPr>
                                            <w:color w:val="000000" w:themeColor="text1"/>
                                          </w:rPr>
                                          <w:alias w:val="Telefon"/>
                                          <w:tag w:val=""/>
                                          <w:id w:val="130763847"/>
                                          <w:dataBinding w:prefixMappings="xmlns:ns0='http://schemas.microsoft.com/office/2006/coverPageProps' " w:xpath="/ns0:CoverPageProperties[1]/ns0:CompanyPhone[1]" w:storeItemID="{55AF091B-3C7A-41E3-B477-F2FDAA23CFDA}"/>
                                          <w:text/>
                                        </w:sdtPr>
                                        <w:sdtEndPr/>
                                        <w:sdtContent>
                                          <w:r w:rsidR="00D85AE6">
                                            <w:rPr>
                                              <w:color w:val="000000" w:themeColor="text1"/>
                                            </w:rPr>
                                            <w:t>221 775 311</w:t>
                                          </w:r>
                                        </w:sdtContent>
                                      </w:sdt>
                                    </w:p>
                                    <w:p w:rsidR="008820DC" w:rsidRPr="00D73D7E" w:rsidRDefault="008820DC">
                                      <w:pPr>
                                        <w:pStyle w:val="Zpat1"/>
                                        <w:rPr>
                                          <w:color w:val="000000" w:themeColor="text1"/>
                                        </w:rPr>
                                      </w:pPr>
                                      <w:r w:rsidRPr="00D73D7E">
                                        <w:rPr>
                                          <w:b/>
                                          <w:bCs/>
                                          <w:color w:val="000000" w:themeColor="text1"/>
                                        </w:rPr>
                                        <w:t>Fax</w:t>
                                      </w:r>
                                      <w:r w:rsidRPr="00D73D7E">
                                        <w:rPr>
                                          <w:color w:val="000000" w:themeColor="text1"/>
                                        </w:rPr>
                                        <w:t xml:space="preserve"> </w:t>
                                      </w:r>
                                      <w:sdt>
                                        <w:sdtPr>
                                          <w:rPr>
                                            <w:color w:val="000000" w:themeColor="text1"/>
                                          </w:rPr>
                                          <w:alias w:val="Fax"/>
                                          <w:tag w:val=""/>
                                          <w:id w:val="-2015451963"/>
                                          <w:dataBinding w:prefixMappings="xmlns:ns0='http://schemas.microsoft.com/office/2006/coverPageProps' " w:xpath="/ns0:CoverPageProperties[1]/ns0:CompanyFax[1]" w:storeItemID="{55AF091B-3C7A-41E3-B477-F2FDAA23CFDA}"/>
                                          <w:text/>
                                        </w:sdtPr>
                                        <w:sdtEndPr/>
                                        <w:sdtContent>
                                          <w:r w:rsidR="009B0F90">
                                            <w:rPr>
                                              <w:color w:val="000000" w:themeColor="text1"/>
                                            </w:rPr>
                                            <w:t>222 775 363</w:t>
                                          </w:r>
                                        </w:sdtContent>
                                      </w:sdt>
                                    </w:p>
                                  </w:tc>
                                  <w:sdt>
                                    <w:sdtPr>
                                      <w:rPr>
                                        <w:color w:val="000000" w:themeColor="text1"/>
                                      </w:rPr>
                                      <w:alias w:val="Adresa"/>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rsidR="008820DC" w:rsidRPr="00D73D7E" w:rsidRDefault="00B9640D" w:rsidP="00B9640D">
                                          <w:pPr>
                                            <w:pStyle w:val="Zpat1"/>
                                            <w:rPr>
                                              <w:color w:val="000000" w:themeColor="text1"/>
                                            </w:rPr>
                                          </w:pPr>
                                          <w:r w:rsidRPr="00D73D7E">
                                            <w:rPr>
                                              <w:color w:val="000000" w:themeColor="text1"/>
                                            </w:rPr>
                                            <w:t xml:space="preserve">Kozí 4 </w:t>
                                          </w:r>
                                          <w:r w:rsidRPr="00D73D7E">
                                            <w:rPr>
                                              <w:color w:val="000000" w:themeColor="text1"/>
                                            </w:rPr>
                                            <w:br/>
                                            <w:t>110 01 Praha 1</w:t>
                                          </w:r>
                                        </w:p>
                                      </w:tc>
                                    </w:sdtContent>
                                  </w:sdt>
                                  <w:tc>
                                    <w:tcPr>
                                      <w:tcW w:w="1667" w:type="pct"/>
                                      <w:tcMar>
                                        <w:bottom w:w="144" w:type="dxa"/>
                                      </w:tcMar>
                                    </w:tcPr>
                                    <w:sdt>
                                      <w:sdtPr>
                                        <w:rPr>
                                          <w:color w:val="000000" w:themeColor="text1"/>
                                        </w:rPr>
                                        <w:alias w:val="Web"/>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rsidR="008820DC" w:rsidRPr="00D73D7E" w:rsidRDefault="00F76AAD">
                                          <w:pPr>
                                            <w:pStyle w:val="Zpat1"/>
                                            <w:rPr>
                                              <w:color w:val="000000" w:themeColor="text1"/>
                                            </w:rPr>
                                          </w:pPr>
                                          <w:r w:rsidRPr="00D73D7E">
                                            <w:rPr>
                                              <w:color w:val="000000" w:themeColor="text1"/>
                                            </w:rPr>
                                            <w:t>www.cbusbs.cz</w:t>
                                          </w:r>
                                        </w:p>
                                      </w:sdtContent>
                                    </w:sdt>
                                    <w:sdt>
                                      <w:sdtPr>
                                        <w:rPr>
                                          <w:color w:val="000000" w:themeColor="text1"/>
                                        </w:rPr>
                                        <w:alias w:val="E-mail"/>
                                        <w:tag w:val=""/>
                                        <w:id w:val="1873495697"/>
                                        <w:dataBinding w:prefixMappings="xmlns:ns0='http://schemas.microsoft.com/office/2006/coverPageProps' " w:xpath="/ns0:CoverPageProperties[1]/ns0:CompanyEmail[1]" w:storeItemID="{55AF091B-3C7A-41E3-B477-F2FDAA23CFDA}"/>
                                        <w:text/>
                                      </w:sdtPr>
                                      <w:sdtEndPr/>
                                      <w:sdtContent>
                                        <w:p w:rsidR="008820DC" w:rsidRPr="00D73D7E" w:rsidRDefault="009B0F90" w:rsidP="00F76AAD">
                                          <w:pPr>
                                            <w:pStyle w:val="Zpat1"/>
                                            <w:rPr>
                                              <w:color w:val="000000" w:themeColor="text1"/>
                                            </w:rPr>
                                          </w:pPr>
                                          <w:r>
                                            <w:rPr>
                                              <w:color w:val="000000" w:themeColor="text1"/>
                                            </w:rPr>
                                            <w:t>info</w:t>
                                          </w:r>
                                          <w:r w:rsidR="00F76AAD" w:rsidRPr="00D73D7E">
                                            <w:rPr>
                                              <w:color w:val="000000" w:themeColor="text1"/>
                                            </w:rPr>
                                            <w:t>@cbusbs.cz</w:t>
                                          </w:r>
                                        </w:p>
                                      </w:sdtContent>
                                    </w:sdt>
                                  </w:tc>
                                </w:tr>
                                <w:tr w:rsidR="00D73D7E" w:rsidRPr="00D73D7E">
                                  <w:trPr>
                                    <w:trHeight w:hRule="exact" w:val="86"/>
                                    <w:jc w:val="right"/>
                                  </w:trPr>
                                  <w:tc>
                                    <w:tcPr>
                                      <w:tcW w:w="1666" w:type="pct"/>
                                      <w:shd w:val="clear" w:color="auto" w:fill="000000" w:themeFill="text1"/>
                                    </w:tcPr>
                                    <w:p w:rsidR="008820DC" w:rsidRPr="00D73D7E" w:rsidRDefault="008820DC">
                                      <w:pPr>
                                        <w:pStyle w:val="Zpat1"/>
                                        <w:rPr>
                                          <w:b/>
                                          <w:bCs/>
                                          <w:color w:val="000000" w:themeColor="text1"/>
                                        </w:rPr>
                                      </w:pPr>
                                    </w:p>
                                  </w:tc>
                                  <w:tc>
                                    <w:tcPr>
                                      <w:tcW w:w="1667" w:type="pct"/>
                                      <w:shd w:val="clear" w:color="auto" w:fill="000000" w:themeFill="text1"/>
                                    </w:tcPr>
                                    <w:p w:rsidR="008820DC" w:rsidRPr="00D73D7E" w:rsidRDefault="008820DC">
                                      <w:pPr>
                                        <w:pStyle w:val="Zpat1"/>
                                        <w:rPr>
                                          <w:color w:val="000000" w:themeColor="text1"/>
                                        </w:rPr>
                                      </w:pPr>
                                    </w:p>
                                  </w:tc>
                                  <w:tc>
                                    <w:tcPr>
                                      <w:tcW w:w="1667" w:type="pct"/>
                                      <w:shd w:val="clear" w:color="auto" w:fill="000000" w:themeFill="text1"/>
                                    </w:tcPr>
                                    <w:p w:rsidR="008820DC" w:rsidRPr="00D73D7E" w:rsidRDefault="008820DC">
                                      <w:pPr>
                                        <w:pStyle w:val="Zpat1"/>
                                        <w:rPr>
                                          <w:color w:val="000000" w:themeColor="text1"/>
                                        </w:rPr>
                                      </w:pPr>
                                    </w:p>
                                  </w:tc>
                                </w:tr>
                              </w:tbl>
                              <w:p w:rsidR="008820DC" w:rsidRPr="00D73D7E" w:rsidRDefault="008820DC">
                                <w:pPr>
                                  <w:pStyle w:val="Bezmezer1"/>
                                  <w:rPr>
                                    <w:color w:val="000000" w:themeColor="tex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5" o:spid="_x0000_s1026" type="#_x0000_t202" alt="Kontaktní informace" style="position:absolute;margin-left:77.7pt;margin-top:674pt;width:508.3pt;height:81.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" o:allowoverlap="f" filled="f" stroked="f" strokeweight=".5pt">
                    <v:textbox inset="0,0,0,0">
                      <w:txbxContent>
                        <w:p w:rsidR="008820DC" w:rsidRPr="00D73D7E" w:rsidRDefault="00423968">
                          <w:pPr>
                            <w:pStyle w:val="Informannadpis"/>
                            <w:jc w:val="left"/>
                            <w:rPr>
                              <w:color w:val="000000" w:themeColor="text1"/>
                            </w:rPr>
                          </w:pPr>
                          <w:sdt>
                            <w:sdtPr>
                              <w:rPr>
                                <w:color w:val="000000" w:themeColor="text1"/>
                              </w:rPr>
                              <w:alias w:val="Společnost"/>
                              <w:tag w:val=""/>
                              <w:id w:val="1735350181"/>
                              <w:dataBinding w:prefixMappings="xmlns:ns0='http://schemas.openxmlformats.org/officeDocument/2006/extended-properties' " w:xpath="/ns0:Properties[1]/ns0:Company[1]" w:storeItemID="{6668398D-A668-4E3E-A5EB-62B293D839F1}"/>
                              <w:text/>
                            </w:sdtPr>
                            <w:sdtEndPr/>
                            <w:sdtContent>
                              <w:r w:rsidR="00F76AAD" w:rsidRPr="00D73D7E">
                                <w:rPr>
                                  <w:color w:val="000000" w:themeColor="text1"/>
                                </w:rPr>
                                <w:t>Český báňský úřad</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384"/>
                            <w:gridCol w:w="3386"/>
                            <w:gridCol w:w="3386"/>
                          </w:tblGrid>
                          <w:tr w:rsidR="00D73D7E" w:rsidRPr="00D73D7E">
                            <w:trPr>
                              <w:trHeight w:hRule="exact" w:val="144"/>
                              <w:jc w:val="right"/>
                            </w:trPr>
                            <w:tc>
                              <w:tcPr>
                                <w:tcW w:w="1666" w:type="pct"/>
                              </w:tcPr>
                              <w:p w:rsidR="008820DC" w:rsidRPr="00D73D7E" w:rsidRDefault="008820DC">
                                <w:pPr>
                                  <w:rPr>
                                    <w:color w:val="000000" w:themeColor="text1"/>
                                  </w:rPr>
                                </w:pPr>
                              </w:p>
                            </w:tc>
                            <w:tc>
                              <w:tcPr>
                                <w:tcW w:w="1667" w:type="pct"/>
                              </w:tcPr>
                              <w:p w:rsidR="008820DC" w:rsidRPr="00D73D7E" w:rsidRDefault="008820DC">
                                <w:pPr>
                                  <w:rPr>
                                    <w:color w:val="000000" w:themeColor="text1"/>
                                  </w:rPr>
                                </w:pPr>
                              </w:p>
                            </w:tc>
                            <w:tc>
                              <w:tcPr>
                                <w:tcW w:w="1667" w:type="pct"/>
                              </w:tcPr>
                              <w:p w:rsidR="008820DC" w:rsidRPr="00D73D7E" w:rsidRDefault="008820DC">
                                <w:pPr>
                                  <w:rPr>
                                    <w:color w:val="000000" w:themeColor="text1"/>
                                  </w:rPr>
                                </w:pPr>
                              </w:p>
                            </w:tc>
                          </w:tr>
                          <w:tr w:rsidR="00D73D7E" w:rsidRPr="00D73D7E">
                            <w:trPr>
                              <w:jc w:val="right"/>
                            </w:trPr>
                            <w:tc>
                              <w:tcPr>
                                <w:tcW w:w="1666" w:type="pct"/>
                                <w:tcMar>
                                  <w:bottom w:w="144" w:type="dxa"/>
                                </w:tcMar>
                              </w:tcPr>
                              <w:p w:rsidR="008820DC" w:rsidRPr="00D73D7E" w:rsidRDefault="008820DC">
                                <w:pPr>
                                  <w:pStyle w:val="Zpat1"/>
                                  <w:rPr>
                                    <w:color w:val="000000" w:themeColor="text1"/>
                                  </w:rPr>
                                </w:pPr>
                                <w:r w:rsidRPr="00D73D7E">
                                  <w:rPr>
                                    <w:b/>
                                    <w:bCs/>
                                    <w:color w:val="000000" w:themeColor="text1"/>
                                  </w:rPr>
                                  <w:t>Telefon</w:t>
                                </w:r>
                                <w:r w:rsidRPr="00D73D7E">
                                  <w:rPr>
                                    <w:color w:val="000000" w:themeColor="text1"/>
                                  </w:rPr>
                                  <w:t xml:space="preserve"> </w:t>
                                </w:r>
                                <w:sdt>
                                  <w:sdtPr>
                                    <w:rPr>
                                      <w:color w:val="000000" w:themeColor="text1"/>
                                    </w:rPr>
                                    <w:alias w:val="Telefon"/>
                                    <w:tag w:val=""/>
                                    <w:id w:val="130763847"/>
                                    <w:dataBinding w:prefixMappings="xmlns:ns0='http://schemas.microsoft.com/office/2006/coverPageProps' " w:xpath="/ns0:CoverPageProperties[1]/ns0:CompanyPhone[1]" w:storeItemID="{55AF091B-3C7A-41E3-B477-F2FDAA23CFDA}"/>
                                    <w:text/>
                                  </w:sdtPr>
                                  <w:sdtEndPr/>
                                  <w:sdtContent>
                                    <w:r w:rsidR="00D85AE6">
                                      <w:rPr>
                                        <w:color w:val="000000" w:themeColor="text1"/>
                                      </w:rPr>
                                      <w:t>221 775 311</w:t>
                                    </w:r>
                                  </w:sdtContent>
                                </w:sdt>
                              </w:p>
                              <w:p w:rsidR="008820DC" w:rsidRPr="00D73D7E" w:rsidRDefault="008820DC">
                                <w:pPr>
                                  <w:pStyle w:val="Zpat1"/>
                                  <w:rPr>
                                    <w:color w:val="000000" w:themeColor="text1"/>
                                  </w:rPr>
                                </w:pPr>
                                <w:r w:rsidRPr="00D73D7E">
                                  <w:rPr>
                                    <w:b/>
                                    <w:bCs/>
                                    <w:color w:val="000000" w:themeColor="text1"/>
                                  </w:rPr>
                                  <w:t>Fax</w:t>
                                </w:r>
                                <w:r w:rsidRPr="00D73D7E">
                                  <w:rPr>
                                    <w:color w:val="000000" w:themeColor="text1"/>
                                  </w:rPr>
                                  <w:t xml:space="preserve"> </w:t>
                                </w:r>
                                <w:sdt>
                                  <w:sdtPr>
                                    <w:rPr>
                                      <w:color w:val="000000" w:themeColor="text1"/>
                                    </w:rPr>
                                    <w:alias w:val="Fax"/>
                                    <w:tag w:val=""/>
                                    <w:id w:val="-2015451963"/>
                                    <w:dataBinding w:prefixMappings="xmlns:ns0='http://schemas.microsoft.com/office/2006/coverPageProps' " w:xpath="/ns0:CoverPageProperties[1]/ns0:CompanyFax[1]" w:storeItemID="{55AF091B-3C7A-41E3-B477-F2FDAA23CFDA}"/>
                                    <w:text/>
                                  </w:sdtPr>
                                  <w:sdtEndPr/>
                                  <w:sdtContent>
                                    <w:r w:rsidR="009B0F90">
                                      <w:rPr>
                                        <w:color w:val="000000" w:themeColor="text1"/>
                                      </w:rPr>
                                      <w:t>222 775 363</w:t>
                                    </w:r>
                                  </w:sdtContent>
                                </w:sdt>
                              </w:p>
                            </w:tc>
                            <w:sdt>
                              <w:sdtPr>
                                <w:rPr>
                                  <w:color w:val="000000" w:themeColor="text1"/>
                                </w:rPr>
                                <w:alias w:val="Adresa"/>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rsidR="008820DC" w:rsidRPr="00D73D7E" w:rsidRDefault="00B9640D" w:rsidP="00B9640D">
                                    <w:pPr>
                                      <w:pStyle w:val="Zpat1"/>
                                      <w:rPr>
                                        <w:color w:val="000000" w:themeColor="text1"/>
                                      </w:rPr>
                                    </w:pPr>
                                    <w:r w:rsidRPr="00D73D7E">
                                      <w:rPr>
                                        <w:color w:val="000000" w:themeColor="text1"/>
                                      </w:rPr>
                                      <w:t xml:space="preserve">Kozí 4 </w:t>
                                    </w:r>
                                    <w:r w:rsidRPr="00D73D7E">
                                      <w:rPr>
                                        <w:color w:val="000000" w:themeColor="text1"/>
                                      </w:rPr>
                                      <w:br/>
                                      <w:t>110 01 Praha 1</w:t>
                                    </w:r>
                                  </w:p>
                                </w:tc>
                              </w:sdtContent>
                            </w:sdt>
                            <w:tc>
                              <w:tcPr>
                                <w:tcW w:w="1667" w:type="pct"/>
                                <w:tcMar>
                                  <w:bottom w:w="144" w:type="dxa"/>
                                </w:tcMar>
                              </w:tcPr>
                              <w:sdt>
                                <w:sdtPr>
                                  <w:rPr>
                                    <w:color w:val="000000" w:themeColor="text1"/>
                                  </w:rPr>
                                  <w:alias w:val="Web"/>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rsidR="008820DC" w:rsidRPr="00D73D7E" w:rsidRDefault="00F76AAD">
                                    <w:pPr>
                                      <w:pStyle w:val="Zpat1"/>
                                      <w:rPr>
                                        <w:color w:val="000000" w:themeColor="text1"/>
                                      </w:rPr>
                                    </w:pPr>
                                    <w:r w:rsidRPr="00D73D7E">
                                      <w:rPr>
                                        <w:color w:val="000000" w:themeColor="text1"/>
                                      </w:rPr>
                                      <w:t>www.cbusbs.cz</w:t>
                                    </w:r>
                                  </w:p>
                                </w:sdtContent>
                              </w:sdt>
                              <w:sdt>
                                <w:sdtPr>
                                  <w:rPr>
                                    <w:color w:val="000000" w:themeColor="text1"/>
                                  </w:rPr>
                                  <w:alias w:val="E-mail"/>
                                  <w:tag w:val=""/>
                                  <w:id w:val="1873495697"/>
                                  <w:dataBinding w:prefixMappings="xmlns:ns0='http://schemas.microsoft.com/office/2006/coverPageProps' " w:xpath="/ns0:CoverPageProperties[1]/ns0:CompanyEmail[1]" w:storeItemID="{55AF091B-3C7A-41E3-B477-F2FDAA23CFDA}"/>
                                  <w:text/>
                                </w:sdtPr>
                                <w:sdtEndPr/>
                                <w:sdtContent>
                                  <w:p w:rsidR="008820DC" w:rsidRPr="00D73D7E" w:rsidRDefault="009B0F90" w:rsidP="00F76AAD">
                                    <w:pPr>
                                      <w:pStyle w:val="Zpat1"/>
                                      <w:rPr>
                                        <w:color w:val="000000" w:themeColor="text1"/>
                                      </w:rPr>
                                    </w:pPr>
                                    <w:r>
                                      <w:rPr>
                                        <w:color w:val="000000" w:themeColor="text1"/>
                                      </w:rPr>
                                      <w:t>info</w:t>
                                    </w:r>
                                    <w:r w:rsidR="00F76AAD" w:rsidRPr="00D73D7E">
                                      <w:rPr>
                                        <w:color w:val="000000" w:themeColor="text1"/>
                                      </w:rPr>
                                      <w:t>@cbusbs.cz</w:t>
                                    </w:r>
                                  </w:p>
                                </w:sdtContent>
                              </w:sdt>
                            </w:tc>
                          </w:tr>
                          <w:tr w:rsidR="00D73D7E" w:rsidRPr="00D73D7E">
                            <w:trPr>
                              <w:trHeight w:hRule="exact" w:val="86"/>
                              <w:jc w:val="right"/>
                            </w:trPr>
                            <w:tc>
                              <w:tcPr>
                                <w:tcW w:w="1666" w:type="pct"/>
                                <w:shd w:val="clear" w:color="auto" w:fill="000000" w:themeFill="text1"/>
                              </w:tcPr>
                              <w:p w:rsidR="008820DC" w:rsidRPr="00D73D7E" w:rsidRDefault="008820DC">
                                <w:pPr>
                                  <w:pStyle w:val="Zpat1"/>
                                  <w:rPr>
                                    <w:b/>
                                    <w:bCs/>
                                    <w:color w:val="000000" w:themeColor="text1"/>
                                  </w:rPr>
                                </w:pPr>
                              </w:p>
                            </w:tc>
                            <w:tc>
                              <w:tcPr>
                                <w:tcW w:w="1667" w:type="pct"/>
                                <w:shd w:val="clear" w:color="auto" w:fill="000000" w:themeFill="text1"/>
                              </w:tcPr>
                              <w:p w:rsidR="008820DC" w:rsidRPr="00D73D7E" w:rsidRDefault="008820DC">
                                <w:pPr>
                                  <w:pStyle w:val="Zpat1"/>
                                  <w:rPr>
                                    <w:color w:val="000000" w:themeColor="text1"/>
                                  </w:rPr>
                                </w:pPr>
                              </w:p>
                            </w:tc>
                            <w:tc>
                              <w:tcPr>
                                <w:tcW w:w="1667" w:type="pct"/>
                                <w:shd w:val="clear" w:color="auto" w:fill="000000" w:themeFill="text1"/>
                              </w:tcPr>
                              <w:p w:rsidR="008820DC" w:rsidRPr="00D73D7E" w:rsidRDefault="008820DC">
                                <w:pPr>
                                  <w:pStyle w:val="Zpat1"/>
                                  <w:rPr>
                                    <w:color w:val="000000" w:themeColor="text1"/>
                                  </w:rPr>
                                </w:pPr>
                              </w:p>
                            </w:tc>
                          </w:tr>
                        </w:tbl>
                        <w:p w:rsidR="008820DC" w:rsidRPr="00D73D7E" w:rsidRDefault="008820DC">
                          <w:pPr>
                            <w:pStyle w:val="Bezmezer1"/>
                            <w:rPr>
                              <w:color w:val="000000" w:themeColor="text1"/>
                            </w:rPr>
                          </w:pPr>
                        </w:p>
                      </w:txbxContent>
                    </v:textbox>
                    <w10:wrap type="square" anchorx="page" anchory="margin"/>
                  </v:shape>
                </w:pict>
              </mc:Fallback>
            </mc:AlternateContent>
          </w:r>
          <w:r w:rsidR="008820DC">
            <w:rPr>
              <w:b/>
              <w:bCs/>
            </w:rPr>
            <w:br w:type="page"/>
          </w:r>
          <w:r w:rsidR="00635A4B">
            <w:rPr>
              <w:b/>
              <w:bCs/>
            </w:rPr>
            <w:lastRenderedPageBreak/>
            <w:t xml:space="preserve">   </w:t>
          </w:r>
        </w:p>
      </w:sdtContent>
    </w:sdt>
    <w:sdt>
      <w:sdtPr>
        <w:rPr>
          <w:rFonts w:asciiTheme="minorHAnsi" w:eastAsiaTheme="minorHAnsi" w:hAnsiTheme="minorHAnsi" w:cstheme="minorBidi"/>
          <w:b w:val="0"/>
          <w:bCs w:val="0"/>
          <w:color w:val="404040" w:themeColor="text1" w:themeTint="BF"/>
          <w:sz w:val="20"/>
          <w:szCs w:val="20"/>
        </w:rPr>
        <w:id w:val="2014187796"/>
        <w:docPartObj>
          <w:docPartGallery w:val="Table of Contents"/>
          <w:docPartUnique/>
        </w:docPartObj>
      </w:sdtPr>
      <w:sdtEndPr/>
      <w:sdtContent>
        <w:p w:rsidR="00562E3A" w:rsidRPr="00473112" w:rsidRDefault="00562E3A" w:rsidP="002F0C2F">
          <w:pPr>
            <w:pStyle w:val="Nadpisobsahu"/>
            <w:spacing w:before="0" w:after="360"/>
            <w:rPr>
              <w:color w:val="006600"/>
            </w:rPr>
          </w:pPr>
          <w:r w:rsidRPr="00473112">
            <w:rPr>
              <w:color w:val="006600"/>
              <w:sz w:val="44"/>
              <w:szCs w:val="44"/>
            </w:rPr>
            <w:t>Obsah</w:t>
          </w:r>
        </w:p>
        <w:p w:rsidR="008948AB" w:rsidRDefault="002F0C2F">
          <w:pPr>
            <w:pStyle w:val="Obsah1"/>
            <w:tabs>
              <w:tab w:val="right" w:leader="underscore" w:pos="8186"/>
            </w:tabs>
            <w:rPr>
              <w:rFonts w:eastAsiaTheme="minorEastAsia"/>
              <w:noProof/>
              <w:color w:val="auto"/>
              <w:sz w:val="22"/>
              <w:szCs w:val="22"/>
            </w:rPr>
          </w:pPr>
          <w:r>
            <w:fldChar w:fldCharType="begin"/>
          </w:r>
          <w:r>
            <w:instrText xml:space="preserve"> TOC \o "1-1" \h \z \u </w:instrText>
          </w:r>
          <w:r>
            <w:fldChar w:fldCharType="separate"/>
          </w:r>
          <w:hyperlink w:anchor="_Toc513105512" w:history="1">
            <w:r w:rsidR="008948AB" w:rsidRPr="00651C7A">
              <w:rPr>
                <w:rStyle w:val="Hypertextovodkaz"/>
                <w:noProof/>
              </w:rPr>
              <w:t>Úvod</w:t>
            </w:r>
            <w:r w:rsidR="008948AB">
              <w:rPr>
                <w:noProof/>
                <w:webHidden/>
              </w:rPr>
              <w:tab/>
            </w:r>
            <w:r w:rsidR="008948AB">
              <w:rPr>
                <w:noProof/>
                <w:webHidden/>
              </w:rPr>
              <w:fldChar w:fldCharType="begin"/>
            </w:r>
            <w:r w:rsidR="008948AB">
              <w:rPr>
                <w:noProof/>
                <w:webHidden/>
              </w:rPr>
              <w:instrText xml:space="preserve"> PAGEREF _Toc513105512 \h </w:instrText>
            </w:r>
            <w:r w:rsidR="008948AB">
              <w:rPr>
                <w:noProof/>
                <w:webHidden/>
              </w:rPr>
            </w:r>
            <w:r w:rsidR="008948AB">
              <w:rPr>
                <w:noProof/>
                <w:webHidden/>
              </w:rPr>
              <w:fldChar w:fldCharType="separate"/>
            </w:r>
            <w:r w:rsidR="000368B2">
              <w:rPr>
                <w:noProof/>
                <w:webHidden/>
              </w:rPr>
              <w:t>1</w:t>
            </w:r>
            <w:r w:rsidR="008948AB">
              <w:rPr>
                <w:noProof/>
                <w:webHidden/>
              </w:rPr>
              <w:fldChar w:fldCharType="end"/>
            </w:r>
          </w:hyperlink>
        </w:p>
        <w:p w:rsidR="008948AB" w:rsidRDefault="00423968">
          <w:pPr>
            <w:pStyle w:val="Obsah1"/>
            <w:tabs>
              <w:tab w:val="right" w:leader="underscore" w:pos="8186"/>
            </w:tabs>
            <w:rPr>
              <w:rFonts w:eastAsiaTheme="minorEastAsia"/>
              <w:noProof/>
              <w:color w:val="auto"/>
              <w:sz w:val="22"/>
              <w:szCs w:val="22"/>
            </w:rPr>
          </w:pPr>
          <w:hyperlink w:anchor="_Toc513105513" w:history="1">
            <w:r w:rsidR="008948AB" w:rsidRPr="00651C7A">
              <w:rPr>
                <w:rStyle w:val="Hypertextovodkaz"/>
                <w:noProof/>
              </w:rPr>
              <w:t>Provozní nehody</w:t>
            </w:r>
            <w:r w:rsidR="008948AB">
              <w:rPr>
                <w:noProof/>
                <w:webHidden/>
              </w:rPr>
              <w:tab/>
            </w:r>
            <w:r w:rsidR="008948AB">
              <w:rPr>
                <w:noProof/>
                <w:webHidden/>
              </w:rPr>
              <w:fldChar w:fldCharType="begin"/>
            </w:r>
            <w:r w:rsidR="008948AB">
              <w:rPr>
                <w:noProof/>
                <w:webHidden/>
              </w:rPr>
              <w:instrText xml:space="preserve"> PAGEREF _Toc513105513 \h </w:instrText>
            </w:r>
            <w:r w:rsidR="008948AB">
              <w:rPr>
                <w:noProof/>
                <w:webHidden/>
              </w:rPr>
            </w:r>
            <w:r w:rsidR="008948AB">
              <w:rPr>
                <w:noProof/>
                <w:webHidden/>
              </w:rPr>
              <w:fldChar w:fldCharType="separate"/>
            </w:r>
            <w:r w:rsidR="000368B2">
              <w:rPr>
                <w:noProof/>
                <w:webHidden/>
              </w:rPr>
              <w:t>4</w:t>
            </w:r>
            <w:r w:rsidR="008948AB">
              <w:rPr>
                <w:noProof/>
                <w:webHidden/>
              </w:rPr>
              <w:fldChar w:fldCharType="end"/>
            </w:r>
          </w:hyperlink>
        </w:p>
        <w:p w:rsidR="008948AB" w:rsidRDefault="00423968">
          <w:pPr>
            <w:pStyle w:val="Obsah1"/>
            <w:tabs>
              <w:tab w:val="right" w:leader="underscore" w:pos="8186"/>
            </w:tabs>
            <w:rPr>
              <w:rFonts w:eastAsiaTheme="minorEastAsia"/>
              <w:noProof/>
              <w:color w:val="auto"/>
              <w:sz w:val="22"/>
              <w:szCs w:val="22"/>
            </w:rPr>
          </w:pPr>
          <w:hyperlink w:anchor="_Toc513105514" w:history="1">
            <w:r w:rsidR="008948AB" w:rsidRPr="00651C7A">
              <w:rPr>
                <w:rStyle w:val="Hypertextovodkaz"/>
                <w:noProof/>
              </w:rPr>
              <w:t>Pracovní úrazy</w:t>
            </w:r>
            <w:r w:rsidR="008948AB">
              <w:rPr>
                <w:noProof/>
                <w:webHidden/>
              </w:rPr>
              <w:tab/>
            </w:r>
            <w:r w:rsidR="008948AB">
              <w:rPr>
                <w:noProof/>
                <w:webHidden/>
              </w:rPr>
              <w:fldChar w:fldCharType="begin"/>
            </w:r>
            <w:r w:rsidR="008948AB">
              <w:rPr>
                <w:noProof/>
                <w:webHidden/>
              </w:rPr>
              <w:instrText xml:space="preserve"> PAGEREF _Toc513105514 \h </w:instrText>
            </w:r>
            <w:r w:rsidR="008948AB">
              <w:rPr>
                <w:noProof/>
                <w:webHidden/>
              </w:rPr>
            </w:r>
            <w:r w:rsidR="008948AB">
              <w:rPr>
                <w:noProof/>
                <w:webHidden/>
              </w:rPr>
              <w:fldChar w:fldCharType="separate"/>
            </w:r>
            <w:r w:rsidR="000368B2">
              <w:rPr>
                <w:noProof/>
                <w:webHidden/>
              </w:rPr>
              <w:t>8</w:t>
            </w:r>
            <w:r w:rsidR="008948AB">
              <w:rPr>
                <w:noProof/>
                <w:webHidden/>
              </w:rPr>
              <w:fldChar w:fldCharType="end"/>
            </w:r>
          </w:hyperlink>
        </w:p>
        <w:p w:rsidR="008948AB" w:rsidRDefault="00423968">
          <w:pPr>
            <w:pStyle w:val="Obsah1"/>
            <w:tabs>
              <w:tab w:val="right" w:leader="underscore" w:pos="8186"/>
            </w:tabs>
            <w:rPr>
              <w:rFonts w:eastAsiaTheme="minorEastAsia"/>
              <w:noProof/>
              <w:color w:val="auto"/>
              <w:sz w:val="22"/>
              <w:szCs w:val="22"/>
            </w:rPr>
          </w:pPr>
          <w:hyperlink w:anchor="_Toc513105515" w:history="1">
            <w:r w:rsidR="008948AB" w:rsidRPr="00651C7A">
              <w:rPr>
                <w:rStyle w:val="Hypertextovodkaz"/>
                <w:noProof/>
              </w:rPr>
              <w:t>Závěr</w:t>
            </w:r>
            <w:r w:rsidR="008948AB">
              <w:rPr>
                <w:noProof/>
                <w:webHidden/>
              </w:rPr>
              <w:tab/>
            </w:r>
            <w:r w:rsidR="008948AB">
              <w:rPr>
                <w:noProof/>
                <w:webHidden/>
              </w:rPr>
              <w:fldChar w:fldCharType="begin"/>
            </w:r>
            <w:r w:rsidR="008948AB">
              <w:rPr>
                <w:noProof/>
                <w:webHidden/>
              </w:rPr>
              <w:instrText xml:space="preserve"> PAGEREF _Toc513105515 \h </w:instrText>
            </w:r>
            <w:r w:rsidR="008948AB">
              <w:rPr>
                <w:noProof/>
                <w:webHidden/>
              </w:rPr>
            </w:r>
            <w:r w:rsidR="008948AB">
              <w:rPr>
                <w:noProof/>
                <w:webHidden/>
              </w:rPr>
              <w:fldChar w:fldCharType="separate"/>
            </w:r>
            <w:r w:rsidR="000368B2">
              <w:rPr>
                <w:noProof/>
                <w:webHidden/>
              </w:rPr>
              <w:t>13</w:t>
            </w:r>
            <w:r w:rsidR="008948AB">
              <w:rPr>
                <w:noProof/>
                <w:webHidden/>
              </w:rPr>
              <w:fldChar w:fldCharType="end"/>
            </w:r>
          </w:hyperlink>
        </w:p>
        <w:p w:rsidR="00562E3A" w:rsidRDefault="002F0C2F">
          <w:r>
            <w:fldChar w:fldCharType="end"/>
          </w:r>
        </w:p>
      </w:sdtContent>
    </w:sdt>
    <w:p w:rsidR="006A3B2A" w:rsidRDefault="006A3B2A">
      <w:pPr>
        <w:sectPr w:rsidR="006A3B2A" w:rsidSect="00BA7DFB">
          <w:headerReference w:type="default" r:id="rId11"/>
          <w:pgSz w:w="11907" w:h="16839" w:code="9"/>
          <w:pgMar w:top="1148" w:right="700" w:bottom="765" w:left="3011" w:header="1148" w:footer="709" w:gutter="0"/>
          <w:pgNumType w:fmt="lowerRoman" w:start="0"/>
          <w:cols w:space="720"/>
          <w:titlePg/>
          <w:docGrid w:linePitch="360"/>
        </w:sectPr>
      </w:pPr>
    </w:p>
    <w:bookmarkStart w:id="1" w:name="_Toc321140622"/>
    <w:bookmarkStart w:id="2" w:name="_Toc513105512"/>
    <w:p w:rsidR="006A3B2A" w:rsidRDefault="00AA6481">
      <w:pPr>
        <w:pStyle w:val="Nadpis11"/>
      </w:pPr>
      <w:r w:rsidRPr="0040697D">
        <w:rPr>
          <w:noProof/>
          <w:color w:val="006600"/>
        </w:rPr>
        <w:lastRenderedPageBreak/>
        <mc:AlternateContent>
          <mc:Choice Requires="wps">
            <w:drawing>
              <wp:anchor distT="0" distB="2743200" distL="182880" distR="182880" simplePos="0" relativeHeight="251659264" behindDoc="0" locked="0" layoutInCell="1" allowOverlap="1" wp14:anchorId="1B616664" wp14:editId="02A1DCAE">
                <wp:simplePos x="0" y="0"/>
                <mc:AlternateContent>
                  <mc:Choice Requires="wp14">
                    <wp:positionH relativeFrom="page">
                      <wp14:pctPosHOffset>5900</wp14:pctPosHOffset>
                    </wp:positionH>
                  </mc:Choice>
                  <mc:Fallback>
                    <wp:positionH relativeFrom="page">
                      <wp:posOffset>445770</wp:posOffset>
                    </wp:positionH>
                  </mc:Fallback>
                </mc:AlternateContent>
                <wp:positionV relativeFrom="margin">
                  <wp:align>top</wp:align>
                </wp:positionV>
                <wp:extent cx="1247775" cy="2303780"/>
                <wp:effectExtent l="0" t="0" r="0" b="0"/>
                <wp:wrapSquare wrapText="largest"/>
                <wp:docPr id="5" name="Textové pole 5" descr="Poznámka v textu"/>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B2A" w:rsidRDefault="006A3B2A">
                            <w:pPr>
                              <w:pStyle w:val="Citt1"/>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1B616664" id="Textové pole 5" o:spid="_x0000_s1027" type="#_x0000_t202" alt="Poznámka v textu" style="position:absolute;margin-left:0;margin-top:0;width:98.25pt;height:181.4pt;z-index:251659264;visibility:visible;mso-wrap-style:square;mso-width-percent:250;mso-height-percent:950;mso-left-percent:59;mso-wrap-distance-left:14.4pt;mso-wrap-distance-top:0;mso-wrap-distance-right:14.4pt;mso-wrap-distance-bottom:3in;mso-position-horizontal-relative:page;mso-position-vertical:top;mso-position-vertical-relative:margin;mso-width-percent:250;mso-height-percent:950;mso-left-percent:59;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" filled="f" stroked="f" strokeweight=".5pt">
                <v:textbox inset="3.6pt,0,3.6pt,0">
                  <w:txbxContent>
                    <w:p w:rsidR="006A3B2A" w:rsidRDefault="006A3B2A">
                      <w:pPr>
                        <w:pStyle w:val="Citt1"/>
                      </w:pPr>
                    </w:p>
                  </w:txbxContent>
                </v:textbox>
                <w10:wrap type="square" side="largest" anchorx="page" anchory="margin"/>
              </v:shape>
            </w:pict>
          </mc:Fallback>
        </mc:AlternateContent>
      </w:r>
      <w:bookmarkEnd w:id="1"/>
      <w:r w:rsidR="00CB1F0E" w:rsidRPr="0040697D">
        <w:rPr>
          <w:color w:val="006600"/>
        </w:rPr>
        <w:t>Úvod</w:t>
      </w:r>
      <w:bookmarkEnd w:id="2"/>
    </w:p>
    <w:p w:rsidR="006A3B2A" w:rsidRDefault="00FF565E">
      <w:pPr>
        <w:pStyle w:val="Nadpis21"/>
      </w:pPr>
      <w:r>
        <w:t>Situace</w:t>
      </w:r>
    </w:p>
    <w:p w:rsidR="006A3B2A" w:rsidRDefault="00FC1B40" w:rsidP="00B440AE">
      <w:pPr>
        <w:jc w:val="both"/>
      </w:pPr>
      <w:r>
        <w:t xml:space="preserve">Český báňský úřad eviduje </w:t>
      </w:r>
      <w:r w:rsidR="00953493" w:rsidRPr="00953493">
        <w:t>ohláš</w:t>
      </w:r>
      <w:r>
        <w:t xml:space="preserve">ené </w:t>
      </w:r>
      <w:r w:rsidR="00B440AE">
        <w:t>údaje o pracovních úrazech</w:t>
      </w:r>
      <w:r w:rsidR="001023DD">
        <w:rPr>
          <w:rStyle w:val="Znakapoznpodarou"/>
        </w:rPr>
        <w:footnoteReference w:id="1"/>
      </w:r>
      <w:r w:rsidR="00B440AE">
        <w:t>, provozních nehodách</w:t>
      </w:r>
      <w:r w:rsidR="000A5528">
        <w:rPr>
          <w:rStyle w:val="Znakapoznpodarou"/>
        </w:rPr>
        <w:footnoteReference w:id="2"/>
      </w:r>
      <w:r w:rsidR="00B440AE">
        <w:t xml:space="preserve"> </w:t>
      </w:r>
      <w:r w:rsidR="00BB390D">
        <w:br/>
      </w:r>
      <w:r w:rsidR="00953493" w:rsidRPr="00953493">
        <w:t>a nebezpečných událostech, ke který</w:t>
      </w:r>
      <w:r w:rsidR="00B87C14">
        <w:t>m došlo při hornické činnosti</w:t>
      </w:r>
      <w:r w:rsidR="000A5528">
        <w:rPr>
          <w:rStyle w:val="Znakapoznpodarou"/>
        </w:rPr>
        <w:footnoteReference w:id="3"/>
      </w:r>
      <w:r w:rsidR="00B87C14">
        <w:t xml:space="preserve"> </w:t>
      </w:r>
      <w:r w:rsidR="00953493" w:rsidRPr="00953493">
        <w:t>a činnos</w:t>
      </w:r>
      <w:r w:rsidR="00B87C14">
        <w:t>ti prováděné hornickým způsobem</w:t>
      </w:r>
      <w:r w:rsidR="00EA51C0">
        <w:rPr>
          <w:rStyle w:val="Znakapoznpodarou"/>
        </w:rPr>
        <w:footnoteReference w:id="4"/>
      </w:r>
      <w:r w:rsidR="00B87C14">
        <w:t xml:space="preserve"> </w:t>
      </w:r>
      <w:r w:rsidR="00B440AE">
        <w:t>a při nakládání s výbušninami</w:t>
      </w:r>
      <w:r w:rsidR="00EA51C0">
        <w:rPr>
          <w:rStyle w:val="Znakapoznpodarou"/>
        </w:rPr>
        <w:footnoteReference w:id="5"/>
      </w:r>
      <w:r w:rsidR="00953493" w:rsidRPr="00953493">
        <w:t xml:space="preserve">. Z těchto údajů sestavuje roční statistiky, které zveřejňuje v Informaci o stavu bezpečnosti v hornictví a při nakládání </w:t>
      </w:r>
      <w:r w:rsidR="00DC2FCA">
        <w:br/>
      </w:r>
      <w:r w:rsidR="00953493" w:rsidRPr="00953493">
        <w:t>s výbušninami</w:t>
      </w:r>
      <w:r w:rsidR="00CD7472">
        <w:rPr>
          <w:rStyle w:val="Znakapoznpodarou"/>
        </w:rPr>
        <w:footnoteReference w:id="6"/>
      </w:r>
      <w:r w:rsidR="00953493" w:rsidRPr="00953493">
        <w:t>.</w:t>
      </w:r>
    </w:p>
    <w:p w:rsidR="006A3B2A" w:rsidRDefault="00B87C14">
      <w:pPr>
        <w:pStyle w:val="Nadpis21"/>
      </w:pPr>
      <w:r>
        <w:t>Meziroční</w:t>
      </w:r>
      <w:r w:rsidR="007716E2">
        <w:t xml:space="preserve"> porovnání </w:t>
      </w:r>
    </w:p>
    <w:p w:rsidR="007642EA" w:rsidRDefault="00FF565E" w:rsidP="007642EA">
      <w:pPr>
        <w:jc w:val="both"/>
      </w:pPr>
      <w:r w:rsidRPr="00FF565E">
        <w:t>V roce 2017 obvodní báňské úřady od dozorovaných organizací zaevidovaly 35 ohlášených provozních nehod</w:t>
      </w:r>
      <w:r w:rsidR="00BB390D">
        <w:t xml:space="preserve"> a </w:t>
      </w:r>
      <w:r w:rsidR="00BB390D" w:rsidRPr="00FF565E">
        <w:t>571 zasla</w:t>
      </w:r>
      <w:r w:rsidR="002D609D">
        <w:t>ných záznamů o pracovním úrazu</w:t>
      </w:r>
      <w:r w:rsidRPr="00FF565E">
        <w:t xml:space="preserve">. Meziroční </w:t>
      </w:r>
      <w:r w:rsidR="007716E2">
        <w:t xml:space="preserve">porovnání </w:t>
      </w:r>
      <w:r w:rsidRPr="00FF565E">
        <w:t xml:space="preserve">základních ukazatelů o stavu nehodovosti </w:t>
      </w:r>
      <w:r w:rsidR="002D609D">
        <w:t xml:space="preserve">a úrazovosti </w:t>
      </w:r>
      <w:r w:rsidRPr="00FF565E">
        <w:t>znázorňuje obrázek č. 1.</w:t>
      </w:r>
    </w:p>
    <w:p w:rsidR="007716E2" w:rsidRDefault="00FC1B40" w:rsidP="00064025">
      <w:pPr>
        <w:jc w:val="both"/>
      </w:pPr>
      <w:r>
        <w:rPr>
          <w:rFonts w:cs="Calibri"/>
          <w:noProof/>
        </w:rPr>
        <w:lastRenderedPageBreak/>
        <w:drawing>
          <wp:inline distT="0" distB="0" distL="0" distR="0" wp14:anchorId="40D0739C" wp14:editId="17F00376">
            <wp:extent cx="5119370" cy="286131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158" cy="2952854"/>
                    </a:xfrm>
                    <a:prstGeom prst="rect">
                      <a:avLst/>
                    </a:prstGeom>
                    <a:noFill/>
                  </pic:spPr>
                </pic:pic>
              </a:graphicData>
            </a:graphic>
          </wp:inline>
        </w:drawing>
      </w:r>
    </w:p>
    <w:p w:rsidR="00DA5363" w:rsidRPr="00213866" w:rsidRDefault="007716E2" w:rsidP="00DA5363">
      <w:pPr>
        <w:pStyle w:val="Titulek"/>
        <w:rPr>
          <w:b/>
        </w:rPr>
      </w:pPr>
      <w:r w:rsidRPr="00213866">
        <w:rPr>
          <w:b/>
        </w:rPr>
        <w:t xml:space="preserve">Obrázek </w:t>
      </w:r>
      <w:r w:rsidR="004443D4" w:rsidRPr="00213866">
        <w:rPr>
          <w:b/>
        </w:rPr>
        <w:fldChar w:fldCharType="begin"/>
      </w:r>
      <w:r w:rsidR="004443D4" w:rsidRPr="00213866">
        <w:rPr>
          <w:b/>
        </w:rPr>
        <w:instrText xml:space="preserve"> SEQ Obrázek \* ARABIC </w:instrText>
      </w:r>
      <w:r w:rsidR="004443D4" w:rsidRPr="00213866">
        <w:rPr>
          <w:b/>
        </w:rPr>
        <w:fldChar w:fldCharType="separate"/>
      </w:r>
      <w:r w:rsidR="000368B2">
        <w:rPr>
          <w:b/>
          <w:noProof/>
        </w:rPr>
        <w:t>1</w:t>
      </w:r>
      <w:r w:rsidR="004443D4" w:rsidRPr="00213866">
        <w:rPr>
          <w:b/>
          <w:noProof/>
        </w:rPr>
        <w:fldChar w:fldCharType="end"/>
      </w:r>
      <w:r w:rsidRPr="00213866">
        <w:rPr>
          <w:b/>
        </w:rPr>
        <w:t xml:space="preserve">  Meziroční porovnání základních ukazatelů o stavu nehodovosti</w:t>
      </w:r>
      <w:r w:rsidR="002D609D" w:rsidRPr="00213866">
        <w:rPr>
          <w:b/>
        </w:rPr>
        <w:t xml:space="preserve"> a úr</w:t>
      </w:r>
      <w:r w:rsidR="003F5812" w:rsidRPr="00213866">
        <w:rPr>
          <w:b/>
        </w:rPr>
        <w:t>a</w:t>
      </w:r>
      <w:r w:rsidR="002D609D" w:rsidRPr="00213866">
        <w:rPr>
          <w:b/>
        </w:rPr>
        <w:t>zovosti</w:t>
      </w:r>
      <w:r w:rsidR="004D3386" w:rsidRPr="00213866">
        <w:rPr>
          <w:b/>
        </w:rPr>
        <w:t>.</w:t>
      </w:r>
    </w:p>
    <w:p w:rsidR="00DA5363" w:rsidRDefault="00C36D32" w:rsidP="00B9640D">
      <w:pPr>
        <w:jc w:val="both"/>
      </w:pPr>
      <w:r>
        <w:t xml:space="preserve">K meziročnímu porovnání základních ukazatelů o stavu nehodovosti a úrazovosti </w:t>
      </w:r>
      <w:r w:rsidR="00F66AEB">
        <w:br/>
      </w:r>
      <w:r>
        <w:t xml:space="preserve">lze objektivně uvést, že </w:t>
      </w:r>
      <w:r w:rsidR="00323AC1">
        <w:t>při zajišťování požadavků na BOZP a BP</w:t>
      </w:r>
      <w:r w:rsidR="00DC22CD">
        <w:rPr>
          <w:rStyle w:val="Znakapoznpodarou"/>
        </w:rPr>
        <w:footnoteReference w:id="7"/>
      </w:r>
      <w:r w:rsidR="00323AC1">
        <w:t xml:space="preserve"> byl</w:t>
      </w:r>
      <w:r w:rsidR="00DC22CD">
        <w:t>a</w:t>
      </w:r>
      <w:r w:rsidR="00323AC1">
        <w:t xml:space="preserve"> pro oba roky </w:t>
      </w:r>
      <w:r w:rsidR="0061328A">
        <w:t xml:space="preserve">identifikována nebezpečí a </w:t>
      </w:r>
      <w:r w:rsidR="00DC22CD">
        <w:t>rizika:</w:t>
      </w:r>
      <w:r w:rsidR="00323AC1">
        <w:t xml:space="preserve"> </w:t>
      </w:r>
    </w:p>
    <w:p w:rsidR="006A3B2A" w:rsidRDefault="00686620">
      <w:pPr>
        <w:pStyle w:val="Nadpis21"/>
      </w:pPr>
      <w:r>
        <w:t xml:space="preserve">Přehled přetrvávajících </w:t>
      </w:r>
      <w:r w:rsidR="0061328A">
        <w:t xml:space="preserve">nebezpečí a identifikovaných </w:t>
      </w:r>
      <w:r>
        <w:t>rizik</w:t>
      </w:r>
    </w:p>
    <w:p w:rsidR="00DA5363" w:rsidRPr="009C1EBF" w:rsidRDefault="00210E12" w:rsidP="009C1EBF">
      <w:pPr>
        <w:jc w:val="both"/>
        <w:rPr>
          <w:b/>
        </w:rPr>
      </w:pPr>
      <w:r>
        <w:rPr>
          <w:b/>
        </w:rPr>
        <w:t>V</w:t>
      </w:r>
      <w:r w:rsidR="007E12CA">
        <w:rPr>
          <w:b/>
        </w:rPr>
        <w:t> </w:t>
      </w:r>
      <w:r w:rsidR="00DA5363" w:rsidRPr="009C1EBF">
        <w:rPr>
          <w:b/>
        </w:rPr>
        <w:t>hornictví</w:t>
      </w:r>
      <w:r w:rsidR="007E12CA">
        <w:rPr>
          <w:b/>
        </w:rPr>
        <w:t>, při ražbách tunelů a kolektorů, provozu podzemních objektů</w:t>
      </w:r>
      <w:r w:rsidR="00DA5363" w:rsidRPr="009C1EBF">
        <w:rPr>
          <w:b/>
        </w:rPr>
        <w:t xml:space="preserve">  </w:t>
      </w:r>
    </w:p>
    <w:p w:rsidR="00DA5363" w:rsidRDefault="00DA5363" w:rsidP="00130237">
      <w:pPr>
        <w:pStyle w:val="Seznamsodrkami"/>
        <w:numPr>
          <w:ilvl w:val="0"/>
          <w:numId w:val="2"/>
        </w:numPr>
        <w:jc w:val="both"/>
      </w:pPr>
      <w:r>
        <w:t>Hornické práce probíhají na rizikových pracovištích ve zhoršených pracovních podmínkách, ve stísněném prostředí, v prostředí s nebezpečím výbuchu, radioaktivity, ve ztížených mikroklimatických podmínkách, na pracovištích s nebezpečím důlních otřesů, na důlních pracovištích se zvýšenou koncentrací oxidu uhelnatého, metanu nebo oxidu uhličitého, v podzemních objektech (stoky, kan</w:t>
      </w:r>
      <w:r w:rsidR="00193A60">
        <w:t xml:space="preserve">alizace) a v mezních situacích </w:t>
      </w:r>
      <w:r>
        <w:t>též v nedýchatelném prostředí.</w:t>
      </w:r>
    </w:p>
    <w:p w:rsidR="00DA5363" w:rsidRDefault="00DA5363" w:rsidP="009C1EBF">
      <w:pPr>
        <w:pStyle w:val="Seznamsodrkami"/>
        <w:numPr>
          <w:ilvl w:val="0"/>
          <w:numId w:val="2"/>
        </w:numPr>
      </w:pPr>
      <w:r>
        <w:t>Rizika hornické práce nelze úplně eliminovat, např. z důvodu proměnlivých přírodních podmínek.</w:t>
      </w:r>
    </w:p>
    <w:p w:rsidR="0011430C" w:rsidRDefault="0011430C" w:rsidP="009C1EBF">
      <w:pPr>
        <w:jc w:val="both"/>
        <w:rPr>
          <w:b/>
        </w:rPr>
      </w:pPr>
    </w:p>
    <w:p w:rsidR="00DA5363" w:rsidRDefault="00210E12" w:rsidP="009C1EBF">
      <w:pPr>
        <w:jc w:val="both"/>
      </w:pPr>
      <w:r>
        <w:rPr>
          <w:b/>
        </w:rPr>
        <w:lastRenderedPageBreak/>
        <w:t>P</w:t>
      </w:r>
      <w:r w:rsidR="00DA5363" w:rsidRPr="009C1EBF">
        <w:rPr>
          <w:b/>
        </w:rPr>
        <w:t>ři nakládání s výbušninami</w:t>
      </w:r>
    </w:p>
    <w:p w:rsidR="00DA5363" w:rsidRDefault="00DA5363" w:rsidP="00193A60">
      <w:pPr>
        <w:pStyle w:val="Seznamsodrkami"/>
        <w:numPr>
          <w:ilvl w:val="0"/>
          <w:numId w:val="2"/>
        </w:numPr>
        <w:jc w:val="both"/>
      </w:pPr>
      <w:r>
        <w:t xml:space="preserve">Výbušniny jsou látky nebezpečné povahy, vysoké nároky na BOZP a BP jsou kladeny na oblast nakládání s výbušninami, a to jak při jejich výrobě, přepravě a skladování, </w:t>
      </w:r>
      <w:r w:rsidR="00F66AEB">
        <w:br/>
      </w:r>
      <w:r>
        <w:t xml:space="preserve">ale též při jejich používání k rozpojování hornin. </w:t>
      </w:r>
    </w:p>
    <w:p w:rsidR="006A3B2A" w:rsidRDefault="00DA5363" w:rsidP="00193A60">
      <w:pPr>
        <w:pStyle w:val="Seznamsodrkami"/>
        <w:numPr>
          <w:ilvl w:val="0"/>
          <w:numId w:val="2"/>
        </w:numPr>
        <w:jc w:val="both"/>
      </w:pPr>
      <w:r>
        <w:t>Výbušniny představují u neodborného nakládání nebo zneužití vysoké bezpečnostní riziko.</w:t>
      </w:r>
    </w:p>
    <w:p w:rsidR="006A3B2A" w:rsidRDefault="00AA6481">
      <w:pPr>
        <w:pStyle w:val="Nadpis21"/>
      </w:pPr>
      <w:r>
        <w:t>Výhled do budoucnosti</w:t>
      </w:r>
    </w:p>
    <w:p w:rsidR="005F151B" w:rsidRDefault="005F151B" w:rsidP="005F151B">
      <w:pPr>
        <w:jc w:val="both"/>
      </w:pPr>
      <w:r>
        <w:t xml:space="preserve">Největší prostor pro účinnější prevenci lze spatřovat ve snížení počtu neidentifikovaných rizik. </w:t>
      </w:r>
    </w:p>
    <w:p w:rsidR="006A3B2A" w:rsidRPr="0040697D" w:rsidRDefault="000A1A32" w:rsidP="006E000A">
      <w:pPr>
        <w:pStyle w:val="Nadpis11"/>
        <w:spacing w:before="120"/>
        <w:rPr>
          <w:color w:val="006600"/>
        </w:rPr>
      </w:pPr>
      <w:bookmarkStart w:id="3" w:name="_Toc513105513"/>
      <w:r w:rsidRPr="0040697D">
        <w:rPr>
          <w:color w:val="006600"/>
        </w:rPr>
        <w:lastRenderedPageBreak/>
        <w:t>Provozní nehody</w:t>
      </w:r>
      <w:bookmarkEnd w:id="3"/>
    </w:p>
    <w:p w:rsidR="00CC165A" w:rsidRDefault="0011358E" w:rsidP="004B1292">
      <w:pPr>
        <w:jc w:val="both"/>
      </w:pPr>
      <w:r>
        <w:t xml:space="preserve">Z meziročního porovnání provozních nehod </w:t>
      </w:r>
      <w:r w:rsidR="00F032FD">
        <w:t xml:space="preserve">uvedeného </w:t>
      </w:r>
      <w:r>
        <w:t xml:space="preserve">na obrázku č. 1 je nepochybné, </w:t>
      </w:r>
      <w:r w:rsidR="00CB23A1">
        <w:br/>
      </w:r>
      <w:r>
        <w:t xml:space="preserve">že v roce 2017 </w:t>
      </w:r>
      <w:r w:rsidR="00F032FD">
        <w:t xml:space="preserve">bylo ohlášeno </w:t>
      </w:r>
      <w:r w:rsidR="00DB2626">
        <w:t xml:space="preserve">o 10 </w:t>
      </w:r>
      <w:r w:rsidR="001256BC">
        <w:t xml:space="preserve">provozních </w:t>
      </w:r>
      <w:r w:rsidR="004B1292">
        <w:t>nehod</w:t>
      </w:r>
      <w:r w:rsidR="00F032FD">
        <w:t xml:space="preserve"> více než v roce 2016</w:t>
      </w:r>
      <w:r w:rsidR="00827090">
        <w:t xml:space="preserve">. </w:t>
      </w:r>
      <w:r w:rsidR="00562491">
        <w:t xml:space="preserve">K nárůstu </w:t>
      </w:r>
      <w:r w:rsidR="00CB23A1">
        <w:br/>
      </w:r>
      <w:r w:rsidR="00562491">
        <w:t xml:space="preserve">o </w:t>
      </w:r>
      <w:r w:rsidR="00EB2809">
        <w:t xml:space="preserve">5 provozních </w:t>
      </w:r>
      <w:r w:rsidR="004707C9">
        <w:t xml:space="preserve">nehod </w:t>
      </w:r>
      <w:r w:rsidR="00562491">
        <w:t xml:space="preserve">došlo </w:t>
      </w:r>
      <w:r w:rsidR="004707C9">
        <w:t xml:space="preserve">při </w:t>
      </w:r>
      <w:r w:rsidR="00BB53FF">
        <w:t>těžbě energetických surovin</w:t>
      </w:r>
      <w:r w:rsidR="00615C52">
        <w:rPr>
          <w:rStyle w:val="Znakapoznpodarou"/>
        </w:rPr>
        <w:footnoteReference w:id="8"/>
      </w:r>
      <w:r w:rsidR="00BB53FF">
        <w:t xml:space="preserve">, </w:t>
      </w:r>
      <w:r w:rsidR="004707C9">
        <w:t xml:space="preserve">o </w:t>
      </w:r>
      <w:r w:rsidR="003F523F">
        <w:t xml:space="preserve">3 </w:t>
      </w:r>
      <w:r w:rsidR="004707C9">
        <w:t xml:space="preserve">provozní nehody </w:t>
      </w:r>
      <w:r w:rsidR="003F523F">
        <w:t xml:space="preserve">při těžbě </w:t>
      </w:r>
      <w:r w:rsidR="004707C9">
        <w:t xml:space="preserve">ostatních </w:t>
      </w:r>
      <w:r w:rsidR="003F523F">
        <w:t xml:space="preserve">surovin a </w:t>
      </w:r>
      <w:r w:rsidR="004707C9">
        <w:t xml:space="preserve">o </w:t>
      </w:r>
      <w:r w:rsidR="003F523F">
        <w:t xml:space="preserve">2 </w:t>
      </w:r>
      <w:r w:rsidR="004707C9">
        <w:t xml:space="preserve">provozní nehody </w:t>
      </w:r>
      <w:r w:rsidR="003F523F">
        <w:t xml:space="preserve">při nakládání s výbušninami. </w:t>
      </w:r>
    </w:p>
    <w:p w:rsidR="007C2318" w:rsidRDefault="00C14AA6" w:rsidP="004B1292">
      <w:pPr>
        <w:jc w:val="both"/>
      </w:pPr>
      <w:r>
        <w:rPr>
          <w:noProof/>
        </w:rPr>
        <mc:AlternateContent>
          <mc:Choice Requires="wps">
            <w:drawing>
              <wp:anchor distT="0" distB="0" distL="114300" distR="114300" simplePos="0" relativeHeight="251679744" behindDoc="1" locked="0" layoutInCell="1" allowOverlap="1" wp14:anchorId="516B7623" wp14:editId="22A00431">
                <wp:simplePos x="0" y="0"/>
                <wp:positionH relativeFrom="column">
                  <wp:posOffset>635</wp:posOffset>
                </wp:positionH>
                <wp:positionV relativeFrom="paragraph">
                  <wp:posOffset>3214370</wp:posOffset>
                </wp:positionV>
                <wp:extent cx="4998720" cy="635"/>
                <wp:effectExtent l="0" t="0" r="0" b="8255"/>
                <wp:wrapThrough wrapText="bothSides">
                  <wp:wrapPolygon edited="0">
                    <wp:start x="0" y="0"/>
                    <wp:lineTo x="0" y="20698"/>
                    <wp:lineTo x="21485" y="20698"/>
                    <wp:lineTo x="21485" y="0"/>
                    <wp:lineTo x="0" y="0"/>
                  </wp:wrapPolygon>
                </wp:wrapThrough>
                <wp:docPr id="1" name="Textové pole 1"/>
                <wp:cNvGraphicFramePr/>
                <a:graphic xmlns:a="http://schemas.openxmlformats.org/drawingml/2006/main">
                  <a:graphicData uri="http://schemas.microsoft.com/office/word/2010/wordprocessingShape">
                    <wps:wsp>
                      <wps:cNvSpPr txBox="1"/>
                      <wps:spPr>
                        <a:xfrm>
                          <a:off x="0" y="0"/>
                          <a:ext cx="4998720" cy="635"/>
                        </a:xfrm>
                        <a:prstGeom prst="rect">
                          <a:avLst/>
                        </a:prstGeom>
                        <a:solidFill>
                          <a:prstClr val="white"/>
                        </a:solidFill>
                        <a:ln>
                          <a:noFill/>
                        </a:ln>
                        <a:effectLst/>
                      </wps:spPr>
                      <wps:txbx>
                        <w:txbxContent>
                          <w:p w:rsidR="00825B28" w:rsidRPr="00213866" w:rsidRDefault="00825B28" w:rsidP="00825B28">
                            <w:pPr>
                              <w:pStyle w:val="Titulek"/>
                              <w:rPr>
                                <w:b/>
                                <w:noProof/>
                                <w:color w:val="404040" w:themeColor="text1" w:themeTint="BF"/>
                                <w:sz w:val="20"/>
                                <w:szCs w:val="20"/>
                              </w:rPr>
                            </w:pPr>
                            <w:r w:rsidRPr="00213866">
                              <w:rPr>
                                <w:b/>
                              </w:rPr>
                              <w:t xml:space="preserve">Obrázek </w:t>
                            </w:r>
                            <w:r w:rsidR="004443D4" w:rsidRPr="00213866">
                              <w:rPr>
                                <w:b/>
                              </w:rPr>
                              <w:fldChar w:fldCharType="begin"/>
                            </w:r>
                            <w:r w:rsidR="004443D4" w:rsidRPr="00213866">
                              <w:rPr>
                                <w:b/>
                              </w:rPr>
                              <w:instrText xml:space="preserve"> SEQ Obrázek \* ARABIC </w:instrText>
                            </w:r>
                            <w:r w:rsidR="004443D4" w:rsidRPr="00213866">
                              <w:rPr>
                                <w:b/>
                              </w:rPr>
                              <w:fldChar w:fldCharType="separate"/>
                            </w:r>
                            <w:r w:rsidR="000368B2">
                              <w:rPr>
                                <w:b/>
                                <w:noProof/>
                              </w:rPr>
                              <w:t>2</w:t>
                            </w:r>
                            <w:r w:rsidR="004443D4" w:rsidRPr="00213866">
                              <w:rPr>
                                <w:b/>
                                <w:noProof/>
                              </w:rPr>
                              <w:fldChar w:fldCharType="end"/>
                            </w:r>
                            <w:r w:rsidRPr="00213866">
                              <w:rPr>
                                <w:b/>
                              </w:rPr>
                              <w:t xml:space="preserve"> Provozní nehody podle těžených surovin a dozorovaných činností</w:t>
                            </w:r>
                            <w:r w:rsidR="0099687D" w:rsidRPr="00213866">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6B7623" id="Textové pole 1" o:spid="_x0000_s1028" type="#_x0000_t202" style="position:absolute;left:0;text-align:left;margin-left:.05pt;margin-top:253.1pt;width:393.6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" stroked="f">
                <v:textbox style="mso-fit-shape-to-text:t" inset="0,0,0,0">
                  <w:txbxContent>
                    <w:p w:rsidR="00825B28" w:rsidRPr="00213866" w:rsidRDefault="00825B28" w:rsidP="00825B28">
                      <w:pPr>
                        <w:pStyle w:val="Titulek"/>
                        <w:rPr>
                          <w:b/>
                          <w:noProof/>
                          <w:color w:val="404040" w:themeColor="text1" w:themeTint="BF"/>
                          <w:sz w:val="20"/>
                          <w:szCs w:val="20"/>
                        </w:rPr>
                      </w:pPr>
                      <w:r w:rsidRPr="00213866">
                        <w:rPr>
                          <w:b/>
                        </w:rPr>
                        <w:t xml:space="preserve">Obrázek </w:t>
                      </w:r>
                      <w:r w:rsidR="004443D4" w:rsidRPr="00213866">
                        <w:rPr>
                          <w:b/>
                        </w:rPr>
                        <w:fldChar w:fldCharType="begin"/>
                      </w:r>
                      <w:r w:rsidR="004443D4" w:rsidRPr="00213866">
                        <w:rPr>
                          <w:b/>
                        </w:rPr>
                        <w:instrText xml:space="preserve"> SEQ Obrázek \* ARABIC </w:instrText>
                      </w:r>
                      <w:r w:rsidR="004443D4" w:rsidRPr="00213866">
                        <w:rPr>
                          <w:b/>
                        </w:rPr>
                        <w:fldChar w:fldCharType="separate"/>
                      </w:r>
                      <w:r w:rsidR="000368B2">
                        <w:rPr>
                          <w:b/>
                          <w:noProof/>
                        </w:rPr>
                        <w:t>2</w:t>
                      </w:r>
                      <w:r w:rsidR="004443D4" w:rsidRPr="00213866">
                        <w:rPr>
                          <w:b/>
                          <w:noProof/>
                        </w:rPr>
                        <w:fldChar w:fldCharType="end"/>
                      </w:r>
                      <w:r w:rsidRPr="00213866">
                        <w:rPr>
                          <w:b/>
                        </w:rPr>
                        <w:t xml:space="preserve"> Provozní nehody podle těžených surovin a dozorovaných činností</w:t>
                      </w:r>
                      <w:r w:rsidR="0099687D" w:rsidRPr="00213866">
                        <w:rPr>
                          <w:b/>
                        </w:rPr>
                        <w:t>.</w:t>
                      </w:r>
                    </w:p>
                  </w:txbxContent>
                </v:textbox>
                <w10:wrap type="through"/>
              </v:shape>
            </w:pict>
          </mc:Fallback>
        </mc:AlternateContent>
      </w:r>
      <w:r>
        <w:rPr>
          <w:noProof/>
        </w:rPr>
        <w:drawing>
          <wp:anchor distT="0" distB="0" distL="114300" distR="114300" simplePos="0" relativeHeight="251677696" behindDoc="1" locked="0" layoutInCell="1" allowOverlap="1" wp14:anchorId="6B313966" wp14:editId="5A73FCAF">
            <wp:simplePos x="0" y="0"/>
            <wp:positionH relativeFrom="column">
              <wp:posOffset>635</wp:posOffset>
            </wp:positionH>
            <wp:positionV relativeFrom="paragraph">
              <wp:posOffset>548640</wp:posOffset>
            </wp:positionV>
            <wp:extent cx="4998720" cy="2583180"/>
            <wp:effectExtent l="0" t="0" r="11430" b="7620"/>
            <wp:wrapSquare wrapText="bothSides"/>
            <wp:docPr id="37" name="Graf 3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256BC">
        <w:t xml:space="preserve">Obrázek č. 2 znázorňuje podrobnější rozdělení </w:t>
      </w:r>
      <w:r w:rsidR="00747024">
        <w:t xml:space="preserve">ohlášených </w:t>
      </w:r>
      <w:r w:rsidR="001256BC">
        <w:t xml:space="preserve">provozních nehod podle druhů </w:t>
      </w:r>
      <w:r w:rsidR="009B5CEB">
        <w:t xml:space="preserve">těžených surovin a </w:t>
      </w:r>
      <w:r w:rsidR="001256BC">
        <w:t>dozorovaných činností</w:t>
      </w:r>
      <w:r w:rsidR="00747024">
        <w:t xml:space="preserve"> v roce 2017</w:t>
      </w:r>
      <w:r w:rsidR="001256BC">
        <w:t>.</w:t>
      </w:r>
      <w:r w:rsidR="002B0888">
        <w:t xml:space="preserve"> </w:t>
      </w:r>
    </w:p>
    <w:p w:rsidR="0011652B" w:rsidRDefault="007A10D9" w:rsidP="007A10D9">
      <w:pPr>
        <w:jc w:val="both"/>
      </w:pPr>
      <w:r>
        <w:t xml:space="preserve">Z celkového počtu 35 hlášenek tvořilo 7 hlášení o úmrtí osob v objektu nebo na pracovišti </w:t>
      </w:r>
      <w:r w:rsidR="008A5122">
        <w:t xml:space="preserve">dozorované </w:t>
      </w:r>
      <w:r>
        <w:t xml:space="preserve">organizace (2 osoby na pracovištích s těžbou energetických surovin a 5 osob </w:t>
      </w:r>
      <w:r w:rsidR="00CB23A1">
        <w:br/>
      </w:r>
      <w:r>
        <w:t>na pracovištích s těžbou ostatních surovin</w:t>
      </w:r>
      <w:r w:rsidR="00615C52">
        <w:rPr>
          <w:rStyle w:val="Znakapoznpodarou"/>
        </w:rPr>
        <w:footnoteReference w:id="9"/>
      </w:r>
      <w:r>
        <w:t xml:space="preserve">). </w:t>
      </w:r>
      <w:r w:rsidR="00732A5B">
        <w:t xml:space="preserve">Příčinou úmrtí </w:t>
      </w:r>
      <w:r w:rsidR="0065448E">
        <w:t xml:space="preserve">osob </w:t>
      </w:r>
      <w:r w:rsidR="00975724">
        <w:t xml:space="preserve">v objektu nebo na pracovišti </w:t>
      </w:r>
      <w:r w:rsidR="0087427F">
        <w:t xml:space="preserve">bylo </w:t>
      </w:r>
      <w:r w:rsidR="00732A5B">
        <w:t>ve většině případů</w:t>
      </w:r>
      <w:r w:rsidR="0087427F">
        <w:t xml:space="preserve"> srdeční selhání.</w:t>
      </w:r>
      <w:r w:rsidR="00732A5B">
        <w:t xml:space="preserve"> </w:t>
      </w:r>
    </w:p>
    <w:p w:rsidR="003C7F21" w:rsidRDefault="000876F5" w:rsidP="007A10D9">
      <w:pPr>
        <w:jc w:val="both"/>
      </w:pPr>
      <w:r>
        <w:t>V roce 2016 byl</w:t>
      </w:r>
      <w:r w:rsidR="0013109C">
        <w:t>o ohlášeno 8 úmrtí osob v objektu nebo na pracovišti organizace.</w:t>
      </w:r>
      <w:r w:rsidR="00296821">
        <w:t xml:space="preserve"> </w:t>
      </w:r>
      <w:r w:rsidR="0013109C">
        <w:t>K</w:t>
      </w:r>
      <w:r w:rsidR="00B32CDA">
        <w:t xml:space="preserve"> nepatrnému poklesu celkového </w:t>
      </w:r>
      <w:r w:rsidR="0013109C">
        <w:t xml:space="preserve">počtu </w:t>
      </w:r>
      <w:r w:rsidR="003C7F21" w:rsidRPr="003C7F21">
        <w:t xml:space="preserve">úmrtí osob v objektu nebo na pracovišti </w:t>
      </w:r>
      <w:r w:rsidR="008A5122">
        <w:t xml:space="preserve">dozorované </w:t>
      </w:r>
      <w:r w:rsidR="003C7F21" w:rsidRPr="003C7F21">
        <w:t>organizace</w:t>
      </w:r>
      <w:r w:rsidR="001A38FE">
        <w:t xml:space="preserve"> v hodnoceném roce 2017 </w:t>
      </w:r>
      <w:r w:rsidR="003C7F21" w:rsidRPr="003C7F21">
        <w:t xml:space="preserve">lze </w:t>
      </w:r>
      <w:r w:rsidR="00B32CDA">
        <w:t xml:space="preserve">doplnit, že </w:t>
      </w:r>
      <w:r w:rsidR="003C7F21" w:rsidRPr="003C7F21">
        <w:t xml:space="preserve">se </w:t>
      </w:r>
      <w:r w:rsidR="00920909" w:rsidRPr="003C7F21">
        <w:t xml:space="preserve">ve 4 případech </w:t>
      </w:r>
      <w:r w:rsidR="003C7F21" w:rsidRPr="003C7F21">
        <w:t xml:space="preserve">jednalo o úmrtí cizích </w:t>
      </w:r>
      <w:r w:rsidR="003C7F21" w:rsidRPr="003C7F21">
        <w:lastRenderedPageBreak/>
        <w:t>osob, které neplnily pracovní úkoly na pracovištích organizací dozorovaných státní báňskou správou</w:t>
      </w:r>
      <w:r w:rsidR="00565550">
        <w:rPr>
          <w:rStyle w:val="Znakapoznpodarou"/>
        </w:rPr>
        <w:footnoteReference w:id="10"/>
      </w:r>
      <w:r w:rsidR="003C7F21" w:rsidRPr="003C7F21">
        <w:t>.</w:t>
      </w:r>
      <w:r w:rsidR="00AE61FE">
        <w:t xml:space="preserve"> </w:t>
      </w:r>
      <w:r w:rsidR="0065448E">
        <w:t xml:space="preserve">Ze zjištěných příčin </w:t>
      </w:r>
      <w:r w:rsidR="00F7712E">
        <w:t xml:space="preserve">úmrtí cizích osob lze označit </w:t>
      </w:r>
      <w:r w:rsidR="00F531FE">
        <w:t>zejména sebevražd</w:t>
      </w:r>
      <w:r w:rsidR="002F2AF2">
        <w:t xml:space="preserve">u </w:t>
      </w:r>
      <w:r w:rsidR="00CD7AEE">
        <w:t xml:space="preserve">skokem </w:t>
      </w:r>
      <w:r w:rsidR="002F2AF2">
        <w:t>z</w:t>
      </w:r>
      <w:r w:rsidR="00CD7AEE">
        <w:t xml:space="preserve"> okraje </w:t>
      </w:r>
      <w:r w:rsidR="002F2AF2">
        <w:t>těžebního řezu</w:t>
      </w:r>
      <w:r w:rsidR="00F531FE">
        <w:t>.</w:t>
      </w:r>
    </w:p>
    <w:p w:rsidR="007A10D9" w:rsidRDefault="007A10D9" w:rsidP="007A10D9">
      <w:pPr>
        <w:jc w:val="both"/>
      </w:pPr>
      <w:r>
        <w:t xml:space="preserve">Další rozdělení hlášenek provozních nehod (bez úmrtí osob v objektu nebo na pracovišti organizace) podle druhů závažných provozních nehod je uvedeno v tabulce č. </w:t>
      </w:r>
      <w:r w:rsidR="00BE5DF6">
        <w:t>1</w:t>
      </w:r>
      <w:r>
        <w:t xml:space="preserve">. </w:t>
      </w:r>
    </w:p>
    <w:tbl>
      <w:tblPr>
        <w:tblStyle w:val="Tabulkaseznamu3zvraznn11"/>
        <w:tblW w:w="8216" w:type="dxa"/>
        <w:tblLook w:val="04A0" w:firstRow="1" w:lastRow="0" w:firstColumn="1" w:lastColumn="0" w:noHBand="0" w:noVBand="1"/>
      </w:tblPr>
      <w:tblGrid>
        <w:gridCol w:w="1696"/>
        <w:gridCol w:w="5103"/>
        <w:gridCol w:w="1417"/>
      </w:tblGrid>
      <w:tr w:rsidR="00826C60" w:rsidRPr="00DC3C11" w:rsidTr="00C228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vAlign w:val="center"/>
          </w:tcPr>
          <w:p w:rsidR="00826C60" w:rsidRPr="00DF5B71" w:rsidRDefault="00826C60" w:rsidP="00C228C9">
            <w:pPr>
              <w:spacing w:line="0" w:lineRule="atLeast"/>
              <w:rPr>
                <w:rFonts w:ascii="Calibri" w:eastAsia="Arial" w:hAnsi="Calibri" w:cs="Calibri"/>
                <w:caps/>
              </w:rPr>
            </w:pPr>
            <w:r w:rsidRPr="00DF5B71">
              <w:rPr>
                <w:rFonts w:ascii="Calibri" w:eastAsia="Arial" w:hAnsi="Calibri" w:cs="Calibri"/>
                <w:caps/>
              </w:rPr>
              <w:t>Rozdělení</w:t>
            </w:r>
          </w:p>
        </w:tc>
        <w:tc>
          <w:tcPr>
            <w:tcW w:w="5103" w:type="dxa"/>
            <w:vAlign w:val="center"/>
          </w:tcPr>
          <w:p w:rsidR="00826C60" w:rsidRPr="00DF5B71" w:rsidRDefault="00826C60" w:rsidP="00DA7253">
            <w:pPr>
              <w:spacing w:line="0" w:lineRule="atLeast"/>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caps/>
              </w:rPr>
            </w:pPr>
            <w:r w:rsidRPr="00DF5B71">
              <w:rPr>
                <w:rFonts w:ascii="Calibri" w:eastAsia="Arial" w:hAnsi="Calibri" w:cs="Calibri"/>
                <w:caps/>
              </w:rPr>
              <w:t>Druh provozní nehody</w:t>
            </w:r>
          </w:p>
        </w:tc>
        <w:tc>
          <w:tcPr>
            <w:tcW w:w="1417" w:type="dxa"/>
          </w:tcPr>
          <w:p w:rsidR="00826C60" w:rsidRPr="00DF5B71" w:rsidRDefault="00826C60" w:rsidP="00DA7253">
            <w:pPr>
              <w:spacing w:line="0" w:lineRule="atLeast"/>
              <w:cnfStyle w:val="100000000000" w:firstRow="1" w:lastRow="0" w:firstColumn="0" w:lastColumn="0" w:oddVBand="0" w:evenVBand="0" w:oddHBand="0" w:evenHBand="0" w:firstRowFirstColumn="0" w:firstRowLastColumn="0" w:lastRowFirstColumn="0" w:lastRowLastColumn="0"/>
              <w:rPr>
                <w:rFonts w:ascii="Calibri" w:eastAsia="Arial" w:hAnsi="Calibri" w:cs="Calibri"/>
                <w:caps/>
              </w:rPr>
            </w:pPr>
            <w:r w:rsidRPr="00DF5B71">
              <w:rPr>
                <w:rFonts w:ascii="Calibri" w:eastAsia="Arial" w:hAnsi="Calibri" w:cs="Calibri"/>
                <w:caps/>
              </w:rPr>
              <w:t>Počet hlášenek</w:t>
            </w:r>
          </w:p>
        </w:tc>
      </w:tr>
      <w:tr w:rsidR="00826C60" w:rsidRPr="00DC3C11" w:rsidTr="004D0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rsidR="00826C60" w:rsidRPr="00DC3C11" w:rsidRDefault="00826C60" w:rsidP="00DA7253">
            <w:pPr>
              <w:rPr>
                <w:rFonts w:ascii="Calibri" w:eastAsia="Arial" w:hAnsi="Calibri" w:cs="Calibri"/>
              </w:rPr>
            </w:pPr>
            <w:r w:rsidRPr="00DC3C11">
              <w:rPr>
                <w:rFonts w:ascii="Calibri" w:eastAsia="Arial" w:hAnsi="Calibri" w:cs="Calibri"/>
              </w:rPr>
              <w:t>energetické suroviny</w:t>
            </w:r>
          </w:p>
        </w:tc>
        <w:tc>
          <w:tcPr>
            <w:tcW w:w="5103" w:type="dxa"/>
          </w:tcPr>
          <w:p w:rsidR="00826C60" w:rsidRPr="00DC3C11" w:rsidRDefault="00826C60" w:rsidP="003B1AF5">
            <w:pPr>
              <w:spacing w:line="0" w:lineRule="atLeast"/>
              <w:ind w:right="-391"/>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 xml:space="preserve">důlní otřes a takový otřesový jev, při kterém došlo </w:t>
            </w:r>
            <w:r w:rsidRPr="00DC3C11">
              <w:rPr>
                <w:rFonts w:ascii="Calibri" w:eastAsia="Arial" w:hAnsi="Calibri" w:cs="Calibri"/>
              </w:rPr>
              <w:br/>
              <w:t>k pracovnímu úrazu</w:t>
            </w:r>
          </w:p>
        </w:tc>
        <w:tc>
          <w:tcPr>
            <w:tcW w:w="1417" w:type="dxa"/>
            <w:vAlign w:val="center"/>
          </w:tcPr>
          <w:p w:rsidR="00826C60" w:rsidRPr="00DC3C11" w:rsidRDefault="00826C60" w:rsidP="003B1AF5">
            <w:pPr>
              <w:spacing w:line="0" w:lineRule="atLeast"/>
              <w:ind w:left="317" w:hanging="317"/>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2</w:t>
            </w:r>
          </w:p>
        </w:tc>
      </w:tr>
      <w:tr w:rsidR="00826C60" w:rsidRPr="00DC3C11" w:rsidTr="004D03DD">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spacing w:line="0" w:lineRule="atLeast"/>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výskyt CO v koncentraci vyšší než 0,013 % mimo ovlivnění trhacími pracemi</w:t>
            </w:r>
          </w:p>
        </w:tc>
        <w:tc>
          <w:tcPr>
            <w:tcW w:w="1417" w:type="dxa"/>
            <w:vAlign w:val="center"/>
          </w:tcPr>
          <w:p w:rsidR="00826C60" w:rsidRPr="00DC3C11" w:rsidRDefault="00826C60" w:rsidP="004D03DD">
            <w:pPr>
              <w:spacing w:line="0" w:lineRule="atLeast"/>
              <w:ind w:left="317" w:hanging="317"/>
              <w:jc w:val="center"/>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6</w:t>
            </w:r>
          </w:p>
        </w:tc>
      </w:tr>
      <w:tr w:rsidR="00826C60" w:rsidRPr="00DC3C11" w:rsidTr="004D0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spacing w:line="0" w:lineRule="atLeast"/>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důlní exogenní požár</w:t>
            </w:r>
          </w:p>
        </w:tc>
        <w:tc>
          <w:tcPr>
            <w:tcW w:w="1417" w:type="dxa"/>
          </w:tcPr>
          <w:p w:rsidR="00826C60" w:rsidRPr="00DC3C11" w:rsidRDefault="00826C60" w:rsidP="00DA7253">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2</w:t>
            </w:r>
          </w:p>
        </w:tc>
      </w:tr>
      <w:tr w:rsidR="00826C60" w:rsidRPr="00DC3C11" w:rsidTr="004D03DD">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spacing w:line="0" w:lineRule="atLeast"/>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zapálení a výbuch metanu nebo uhelného prachu</w:t>
            </w:r>
          </w:p>
        </w:tc>
        <w:tc>
          <w:tcPr>
            <w:tcW w:w="1417" w:type="dxa"/>
          </w:tcPr>
          <w:p w:rsidR="00826C60" w:rsidRPr="00DC3C11" w:rsidRDefault="00826C60" w:rsidP="00DA7253">
            <w:pPr>
              <w:spacing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1</w:t>
            </w:r>
          </w:p>
        </w:tc>
      </w:tr>
      <w:tr w:rsidR="00826C60" w:rsidRPr="00DC3C11" w:rsidTr="004D0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požár na povrchu v okruhu 60 m od průniku provozovaného podzemního důlního díla s povrchem</w:t>
            </w:r>
          </w:p>
        </w:tc>
        <w:tc>
          <w:tcPr>
            <w:tcW w:w="1417" w:type="dxa"/>
            <w:vAlign w:val="center"/>
          </w:tcPr>
          <w:p w:rsidR="00826C60" w:rsidRPr="00DC3C11" w:rsidRDefault="00826C60" w:rsidP="00DA7253">
            <w:pPr>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1</w:t>
            </w:r>
          </w:p>
        </w:tc>
      </w:tr>
      <w:tr w:rsidR="00826C60" w:rsidRPr="00DC3C11" w:rsidTr="004D03DD">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spacing w:line="0" w:lineRule="atLeast"/>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zaplynování důlního díla trvající déle než 8 hodin</w:t>
            </w:r>
          </w:p>
        </w:tc>
        <w:tc>
          <w:tcPr>
            <w:tcW w:w="1417" w:type="dxa"/>
          </w:tcPr>
          <w:p w:rsidR="00826C60" w:rsidRPr="00DC3C11" w:rsidRDefault="00826C60" w:rsidP="00DA7253">
            <w:pPr>
              <w:spacing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1</w:t>
            </w:r>
          </w:p>
        </w:tc>
      </w:tr>
      <w:tr w:rsidR="00826C60" w:rsidRPr="00DC3C11" w:rsidTr="004D0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spacing w:line="0" w:lineRule="atLeast"/>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používání vyhrazených technických zařízení včetně úrazů elektrickým proudem</w:t>
            </w:r>
          </w:p>
        </w:tc>
        <w:tc>
          <w:tcPr>
            <w:tcW w:w="1417" w:type="dxa"/>
            <w:vAlign w:val="center"/>
          </w:tcPr>
          <w:p w:rsidR="00826C60" w:rsidRPr="00DC3C11" w:rsidRDefault="00826C60" w:rsidP="00DA7253">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6</w:t>
            </w:r>
          </w:p>
        </w:tc>
      </w:tr>
      <w:tr w:rsidR="00826C60" w:rsidRPr="00DC3C11" w:rsidTr="004D03DD">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rsidR="00826C60" w:rsidRPr="00DC3C11" w:rsidRDefault="00826C60" w:rsidP="00DA7253">
            <w:pPr>
              <w:spacing w:line="0" w:lineRule="atLeast"/>
              <w:rPr>
                <w:rFonts w:ascii="Calibri" w:eastAsia="Arial" w:hAnsi="Calibri" w:cs="Calibri"/>
              </w:rPr>
            </w:pPr>
            <w:r w:rsidRPr="00DC3C11">
              <w:rPr>
                <w:rFonts w:ascii="Calibri" w:eastAsia="Arial" w:hAnsi="Calibri" w:cs="Calibri"/>
              </w:rPr>
              <w:t>ostatní suroviny</w:t>
            </w:r>
          </w:p>
        </w:tc>
        <w:tc>
          <w:tcPr>
            <w:tcW w:w="5103" w:type="dxa"/>
          </w:tcPr>
          <w:p w:rsidR="00826C60" w:rsidRPr="00DC3C11" w:rsidRDefault="00826C60" w:rsidP="00DA7253">
            <w:pPr>
              <w:spacing w:line="0" w:lineRule="atLeast"/>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skluzy zemin a sesuvy skalních stěn</w:t>
            </w:r>
          </w:p>
        </w:tc>
        <w:tc>
          <w:tcPr>
            <w:tcW w:w="1417" w:type="dxa"/>
          </w:tcPr>
          <w:p w:rsidR="00826C60" w:rsidRPr="00DC3C11" w:rsidRDefault="00826C60" w:rsidP="00DA7253">
            <w:pPr>
              <w:spacing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2</w:t>
            </w:r>
          </w:p>
        </w:tc>
      </w:tr>
      <w:tr w:rsidR="00826C60" w:rsidRPr="00DC3C11" w:rsidTr="004D0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41D07">
            <w:pPr>
              <w:spacing w:line="0" w:lineRule="atLeast"/>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úraz s takovým charakterem úrazového děje, který nastal v důsledku porušení bezpečnostních předpisů a nasvědčuje závažnému ohrožení bezpečnosti provozu a ochrany zdraví při práci</w:t>
            </w:r>
          </w:p>
        </w:tc>
        <w:tc>
          <w:tcPr>
            <w:tcW w:w="1417" w:type="dxa"/>
            <w:vAlign w:val="center"/>
          </w:tcPr>
          <w:p w:rsidR="00826C60" w:rsidRPr="00DC3C11" w:rsidRDefault="00826C60" w:rsidP="00DA7253">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1</w:t>
            </w:r>
          </w:p>
        </w:tc>
      </w:tr>
      <w:tr w:rsidR="00826C60" w:rsidRPr="00DC3C11" w:rsidTr="004D03DD">
        <w:tc>
          <w:tcPr>
            <w:cnfStyle w:val="001000000000" w:firstRow="0" w:lastRow="0" w:firstColumn="1" w:lastColumn="0" w:oddVBand="0" w:evenVBand="0" w:oddHBand="0" w:evenHBand="0" w:firstRowFirstColumn="0" w:firstRowLastColumn="0" w:lastRowFirstColumn="0" w:lastRowLastColumn="0"/>
            <w:tcW w:w="1696" w:type="dxa"/>
            <w:vMerge/>
          </w:tcPr>
          <w:p w:rsidR="00826C60" w:rsidRPr="00DC3C11" w:rsidRDefault="00826C60" w:rsidP="00DA7253">
            <w:pPr>
              <w:spacing w:line="0" w:lineRule="atLeast"/>
              <w:rPr>
                <w:rFonts w:ascii="Calibri" w:eastAsia="Arial" w:hAnsi="Calibri" w:cs="Calibri"/>
              </w:rPr>
            </w:pPr>
          </w:p>
        </w:tc>
        <w:tc>
          <w:tcPr>
            <w:tcW w:w="5103" w:type="dxa"/>
          </w:tcPr>
          <w:p w:rsidR="00826C60" w:rsidRPr="00DC3C11" w:rsidRDefault="00826C60" w:rsidP="00DA7253">
            <w:pPr>
              <w:spacing w:line="0" w:lineRule="atLeast"/>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ohrožení bezpečnosti provozu včetně provozovaných zařízení</w:t>
            </w:r>
          </w:p>
        </w:tc>
        <w:tc>
          <w:tcPr>
            <w:tcW w:w="1417" w:type="dxa"/>
          </w:tcPr>
          <w:p w:rsidR="00826C60" w:rsidRPr="00DC3C11" w:rsidRDefault="00826C60" w:rsidP="00DA7253">
            <w:pPr>
              <w:spacing w:line="0" w:lineRule="atLeast"/>
              <w:jc w:val="center"/>
              <w:cnfStyle w:val="000000000000" w:firstRow="0" w:lastRow="0" w:firstColumn="0" w:lastColumn="0" w:oddVBand="0" w:evenVBand="0" w:oddHBand="0" w:evenHBand="0" w:firstRowFirstColumn="0" w:firstRowLastColumn="0" w:lastRowFirstColumn="0" w:lastRowLastColumn="0"/>
              <w:rPr>
                <w:rFonts w:ascii="Calibri" w:eastAsia="Arial" w:hAnsi="Calibri" w:cs="Calibri"/>
              </w:rPr>
            </w:pPr>
            <w:r w:rsidRPr="00DC3C11">
              <w:rPr>
                <w:rFonts w:ascii="Calibri" w:eastAsia="Arial" w:hAnsi="Calibri" w:cs="Calibri"/>
              </w:rPr>
              <w:t>1</w:t>
            </w:r>
          </w:p>
        </w:tc>
      </w:tr>
      <w:tr w:rsidR="00826C60" w:rsidRPr="00DC3C11" w:rsidTr="004D0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826C60" w:rsidRPr="00DC3C11" w:rsidRDefault="00826C60" w:rsidP="00DA7253">
            <w:pPr>
              <w:spacing w:line="0" w:lineRule="atLeast"/>
              <w:rPr>
                <w:rFonts w:ascii="Calibri" w:eastAsia="Arial" w:hAnsi="Calibri" w:cs="Calibri"/>
              </w:rPr>
            </w:pPr>
            <w:r w:rsidRPr="00DC3C11">
              <w:rPr>
                <w:rFonts w:ascii="Calibri" w:eastAsia="Arial" w:hAnsi="Calibri" w:cs="Calibri"/>
              </w:rPr>
              <w:t xml:space="preserve">nakládání </w:t>
            </w:r>
            <w:r w:rsidRPr="00DC3C11">
              <w:rPr>
                <w:rFonts w:ascii="Calibri" w:eastAsia="Arial" w:hAnsi="Calibri" w:cs="Calibri"/>
              </w:rPr>
              <w:br/>
              <w:t>s výbušninami</w:t>
            </w:r>
          </w:p>
        </w:tc>
        <w:tc>
          <w:tcPr>
            <w:tcW w:w="5103" w:type="dxa"/>
            <w:vAlign w:val="center"/>
          </w:tcPr>
          <w:p w:rsidR="00826C60" w:rsidRPr="00DC3C11" w:rsidRDefault="00826C60" w:rsidP="00DA7253">
            <w:pPr>
              <w:spacing w:line="0" w:lineRule="atLeast"/>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mimořádné události při nakládání s výbušninami</w:t>
            </w:r>
          </w:p>
        </w:tc>
        <w:tc>
          <w:tcPr>
            <w:tcW w:w="1417" w:type="dxa"/>
            <w:vAlign w:val="center"/>
          </w:tcPr>
          <w:p w:rsidR="00826C60" w:rsidRPr="00DC3C11" w:rsidRDefault="00826C60" w:rsidP="00DA7253">
            <w:pPr>
              <w:spacing w:line="0" w:lineRule="atLeast"/>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rPr>
            </w:pPr>
            <w:r w:rsidRPr="00DC3C11">
              <w:rPr>
                <w:rFonts w:ascii="Calibri" w:eastAsia="Arial" w:hAnsi="Calibri" w:cs="Calibri"/>
              </w:rPr>
              <w:t>5</w:t>
            </w:r>
          </w:p>
        </w:tc>
      </w:tr>
    </w:tbl>
    <w:p w:rsidR="006B47FF" w:rsidRPr="00213866" w:rsidRDefault="006B47FF" w:rsidP="00213866">
      <w:pPr>
        <w:pStyle w:val="Titulek"/>
        <w:jc w:val="both"/>
        <w:rPr>
          <w:b/>
          <w:sz w:val="10"/>
          <w:szCs w:val="10"/>
        </w:rPr>
      </w:pPr>
    </w:p>
    <w:p w:rsidR="00D2726E" w:rsidRPr="00A272E2" w:rsidRDefault="00826C60" w:rsidP="00213866">
      <w:pPr>
        <w:pStyle w:val="Titulek"/>
        <w:jc w:val="both"/>
        <w:rPr>
          <w:rFonts w:cstheme="minorHAnsi"/>
          <w:i w:val="0"/>
        </w:rPr>
      </w:pPr>
      <w:r w:rsidRPr="00213866">
        <w:rPr>
          <w:b/>
        </w:rPr>
        <w:t xml:space="preserve">Tabulka </w:t>
      </w:r>
      <w:r w:rsidR="00BE5DF6" w:rsidRPr="00213866">
        <w:rPr>
          <w:b/>
        </w:rPr>
        <w:t>1</w:t>
      </w:r>
      <w:r w:rsidRPr="00213866">
        <w:rPr>
          <w:b/>
        </w:rPr>
        <w:t xml:space="preserve"> Rozdělení hlášenek podle druhů závažných provozních nehod a nebezpečných událostí.</w:t>
      </w:r>
    </w:p>
    <w:p w:rsidR="007A10D9" w:rsidRDefault="007A10D9" w:rsidP="007A10D9">
      <w:pPr>
        <w:jc w:val="both"/>
      </w:pPr>
      <w:r>
        <w:t xml:space="preserve">Obecné údaje v tabulce č. 3 lze upřesnit o další informace uvedené v hlášenkách: </w:t>
      </w:r>
    </w:p>
    <w:p w:rsidR="007A10D9" w:rsidRDefault="007A10D9" w:rsidP="00D2726E">
      <w:pPr>
        <w:pStyle w:val="Seznamsodrkami"/>
        <w:numPr>
          <w:ilvl w:val="0"/>
          <w:numId w:val="2"/>
        </w:numPr>
        <w:jc w:val="both"/>
      </w:pPr>
      <w:r>
        <w:t xml:space="preserve">Při dobývání energetických surovin (černého uhlí) došlo ke 2 důlním otřesům, </w:t>
      </w:r>
      <w:r w:rsidR="00CB23A1">
        <w:br/>
      </w:r>
      <w:r>
        <w:t xml:space="preserve">6 výskytům vyšších koncentrací CO, 2 důlním exogenním požárům, 1 zapálení metanu nebo uhelného prachu a ve 4 případech došlo k pracovním úrazům při používání vyhrazených technických zařízení včetně úrazů elektrickým proudem. </w:t>
      </w:r>
    </w:p>
    <w:p w:rsidR="007A10D9" w:rsidRDefault="007A10D9" w:rsidP="00AD727E">
      <w:pPr>
        <w:pStyle w:val="Seznamsodrkami"/>
        <w:numPr>
          <w:ilvl w:val="0"/>
          <w:numId w:val="0"/>
        </w:numPr>
        <w:ind w:left="576"/>
        <w:jc w:val="both"/>
      </w:pPr>
      <w:r>
        <w:lastRenderedPageBreak/>
        <w:t xml:space="preserve">Při dobývání hnědého uhlí došlo ve 2 případech k pracovním úrazům při používání vyhrazených technických zařízení včetně úrazů elektrickým proudem.  V jednom případě došlo k zaplynování stěnového porubu trvající déle než 8 hodin. </w:t>
      </w:r>
    </w:p>
    <w:p w:rsidR="007A10D9" w:rsidRDefault="007A10D9" w:rsidP="00AD727E">
      <w:pPr>
        <w:pStyle w:val="Seznamsodrkami"/>
        <w:numPr>
          <w:ilvl w:val="0"/>
          <w:numId w:val="0"/>
        </w:numPr>
        <w:ind w:left="576"/>
        <w:jc w:val="both"/>
      </w:pPr>
      <w:r>
        <w:t>V podzemním stavitelství došlo k pracovním</w:t>
      </w:r>
      <w:r w:rsidR="00C66F36">
        <w:t>u</w:t>
      </w:r>
      <w:r>
        <w:t xml:space="preserve"> úraz</w:t>
      </w:r>
      <w:r w:rsidR="00C66F36">
        <w:t>u</w:t>
      </w:r>
      <w:r>
        <w:t xml:space="preserve"> při</w:t>
      </w:r>
      <w:r w:rsidR="00824562">
        <w:t xml:space="preserve"> pracích </w:t>
      </w:r>
      <w:r w:rsidR="00C66F36">
        <w:t xml:space="preserve">na </w:t>
      </w:r>
      <w:r w:rsidR="00910686">
        <w:t xml:space="preserve">pasovém </w:t>
      </w:r>
      <w:r>
        <w:t>dopravníku.</w:t>
      </w:r>
    </w:p>
    <w:p w:rsidR="007A10D9" w:rsidRDefault="007A10D9" w:rsidP="00AD727E">
      <w:pPr>
        <w:pStyle w:val="Seznamsodrkami"/>
        <w:numPr>
          <w:ilvl w:val="0"/>
          <w:numId w:val="0"/>
        </w:numPr>
        <w:ind w:left="576"/>
        <w:jc w:val="both"/>
      </w:pPr>
      <w:r>
        <w:t xml:space="preserve">Při ostatních dozorovaných činnostech došlo k jednomu popálení postiženého </w:t>
      </w:r>
      <w:r w:rsidR="001E2279">
        <w:br/>
      </w:r>
      <w:r>
        <w:t xml:space="preserve">při připojování zařízení pro odběr kyslíku. </w:t>
      </w:r>
    </w:p>
    <w:p w:rsidR="007A10D9" w:rsidRDefault="007A10D9" w:rsidP="00D2726E">
      <w:pPr>
        <w:pStyle w:val="Seznamsodrkami"/>
        <w:numPr>
          <w:ilvl w:val="0"/>
          <w:numId w:val="2"/>
        </w:numPr>
        <w:jc w:val="both"/>
      </w:pPr>
      <w:r>
        <w:t xml:space="preserve">Při těžbě ostatních surovin byl ohlášen jeden závažný pracovní úraz při úpravě kaolínu, kdy postižený vstoupil do ohroženého prostoru (vany šnekového podavače). </w:t>
      </w:r>
    </w:p>
    <w:p w:rsidR="007A10D9" w:rsidRDefault="007A10D9" w:rsidP="001E2279">
      <w:pPr>
        <w:pStyle w:val="Seznamsodrkami"/>
        <w:numPr>
          <w:ilvl w:val="0"/>
          <w:numId w:val="0"/>
        </w:numPr>
        <w:ind w:left="576"/>
        <w:jc w:val="both"/>
      </w:pPr>
      <w:r>
        <w:t xml:space="preserve">Při těžbě stavebních surovin došlo ke dvěma sesuvům hornin. V jednom případě </w:t>
      </w:r>
      <w:r w:rsidR="001E2279">
        <w:br/>
      </w:r>
      <w:r>
        <w:t xml:space="preserve">byl ohrožen pracovník, který vystoupil do ohroženého prostoru (okraj těžebního řezu).  Ve druhém případě byla ohrožena obsluha lopatového rypadla při těžbě horniny </w:t>
      </w:r>
      <w:r w:rsidR="001E2279">
        <w:br/>
      </w:r>
      <w:r>
        <w:t xml:space="preserve">z rozvalu. </w:t>
      </w:r>
    </w:p>
    <w:p w:rsidR="007A10D9" w:rsidRDefault="007A10D9" w:rsidP="00AD727E">
      <w:pPr>
        <w:pStyle w:val="Seznamsodrkami"/>
        <w:numPr>
          <w:ilvl w:val="0"/>
          <w:numId w:val="0"/>
        </w:numPr>
        <w:ind w:left="576"/>
        <w:jc w:val="both"/>
      </w:pPr>
      <w:r>
        <w:t xml:space="preserve">V jednom případě došlo k ohrožení bezpečnosti provozu včetně provozovaných zařízení tím, že obsluha nesklopila korbu vozidla a strhla vodiče vysokého napětí. </w:t>
      </w:r>
    </w:p>
    <w:p w:rsidR="007A10D9" w:rsidRDefault="007A10D9" w:rsidP="00D2726E">
      <w:pPr>
        <w:pStyle w:val="Seznamsodrkami"/>
        <w:numPr>
          <w:ilvl w:val="0"/>
          <w:numId w:val="2"/>
        </w:numPr>
        <w:jc w:val="both"/>
      </w:pPr>
      <w:r>
        <w:t xml:space="preserve">Z obsahu 5 hlášenek o mimořádné události při nakládání s výbušninami je zřejmé, </w:t>
      </w:r>
      <w:r w:rsidR="001E2279">
        <w:br/>
      </w:r>
      <w:r>
        <w:t xml:space="preserve">že k výbuchu nebo explozivnímu zahoření docházelo při výrobě výbušnin (3x v průběhu výroby výbušnin a 2x v průběhu oprav výrobních linek). </w:t>
      </w:r>
    </w:p>
    <w:p w:rsidR="002D0C06" w:rsidRDefault="002D0C06" w:rsidP="00646CA6">
      <w:pPr>
        <w:pStyle w:val="Seznamsodrkami"/>
        <w:numPr>
          <w:ilvl w:val="0"/>
          <w:numId w:val="0"/>
        </w:numPr>
        <w:jc w:val="both"/>
      </w:pPr>
    </w:p>
    <w:p w:rsidR="00E76250" w:rsidRDefault="00E76250" w:rsidP="00E76250">
      <w:pPr>
        <w:pStyle w:val="Seznamsodrkami"/>
        <w:numPr>
          <w:ilvl w:val="0"/>
          <w:numId w:val="0"/>
        </w:numPr>
        <w:jc w:val="both"/>
      </w:pPr>
      <w:r>
        <w:t xml:space="preserve">Výsledek podrobnější analýzy </w:t>
      </w:r>
      <w:r w:rsidR="007423ED">
        <w:t xml:space="preserve">ohlášených </w:t>
      </w:r>
      <w:r>
        <w:t xml:space="preserve">druhů provozních nehod </w:t>
      </w:r>
      <w:r w:rsidR="00456960">
        <w:t xml:space="preserve">v meziročním </w:t>
      </w:r>
      <w:r w:rsidR="00E62EB0">
        <w:t xml:space="preserve">porovnání </w:t>
      </w:r>
      <w:r>
        <w:t>znázorňuje graf na obrázku č. 3.</w:t>
      </w:r>
    </w:p>
    <w:p w:rsidR="00A208A8" w:rsidRDefault="00A208A8" w:rsidP="00E76250">
      <w:pPr>
        <w:pStyle w:val="Seznamsodrkami"/>
        <w:numPr>
          <w:ilvl w:val="0"/>
          <w:numId w:val="0"/>
        </w:numPr>
        <w:jc w:val="both"/>
      </w:pPr>
    </w:p>
    <w:p w:rsidR="00566446" w:rsidRDefault="00F96319" w:rsidP="00566446">
      <w:pPr>
        <w:pStyle w:val="Seznamsodrkami"/>
        <w:keepNext/>
        <w:numPr>
          <w:ilvl w:val="0"/>
          <w:numId w:val="0"/>
        </w:numPr>
        <w:jc w:val="both"/>
      </w:pPr>
      <w:r>
        <w:rPr>
          <w:noProof/>
        </w:rPr>
        <w:drawing>
          <wp:inline distT="0" distB="0" distL="0" distR="0" wp14:anchorId="4F51E848" wp14:editId="05E6B5D5">
            <wp:extent cx="5181600" cy="2802255"/>
            <wp:effectExtent l="0" t="0" r="0" b="17145"/>
            <wp:docPr id="4" name="Graf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6250" w:rsidRPr="00213866" w:rsidRDefault="00566446" w:rsidP="00566446">
      <w:pPr>
        <w:pStyle w:val="Titulek"/>
        <w:jc w:val="both"/>
        <w:rPr>
          <w:b/>
        </w:rPr>
      </w:pPr>
      <w:r w:rsidRPr="00213866">
        <w:rPr>
          <w:b/>
        </w:rPr>
        <w:t xml:space="preserve">Obrázek </w:t>
      </w:r>
      <w:r w:rsidR="004443D4" w:rsidRPr="00213866">
        <w:rPr>
          <w:b/>
        </w:rPr>
        <w:fldChar w:fldCharType="begin"/>
      </w:r>
      <w:r w:rsidR="004443D4" w:rsidRPr="00213866">
        <w:rPr>
          <w:b/>
        </w:rPr>
        <w:instrText xml:space="preserve"> SEQ Obrázek \* ARABIC </w:instrText>
      </w:r>
      <w:r w:rsidR="004443D4" w:rsidRPr="00213866">
        <w:rPr>
          <w:b/>
        </w:rPr>
        <w:fldChar w:fldCharType="separate"/>
      </w:r>
      <w:r w:rsidR="000368B2">
        <w:rPr>
          <w:b/>
          <w:noProof/>
        </w:rPr>
        <w:t>3</w:t>
      </w:r>
      <w:r w:rsidR="004443D4" w:rsidRPr="00213866">
        <w:rPr>
          <w:b/>
          <w:noProof/>
        </w:rPr>
        <w:fldChar w:fldCharType="end"/>
      </w:r>
      <w:r w:rsidRPr="00213866">
        <w:rPr>
          <w:b/>
        </w:rPr>
        <w:t xml:space="preserve"> Meziroční porovnání </w:t>
      </w:r>
      <w:r w:rsidR="00FF1964" w:rsidRPr="00213866">
        <w:rPr>
          <w:b/>
        </w:rPr>
        <w:t>druhů provozních nehod (2016</w:t>
      </w:r>
      <w:r w:rsidRPr="00213866">
        <w:rPr>
          <w:b/>
        </w:rPr>
        <w:t xml:space="preserve"> - 2017)</w:t>
      </w:r>
      <w:r w:rsidR="001E2279" w:rsidRPr="00213866">
        <w:rPr>
          <w:b/>
        </w:rPr>
        <w:t>.</w:t>
      </w:r>
    </w:p>
    <w:p w:rsidR="00916374" w:rsidRDefault="00A93868" w:rsidP="00646CA6">
      <w:pPr>
        <w:pStyle w:val="Seznamsodrkami"/>
        <w:numPr>
          <w:ilvl w:val="0"/>
          <w:numId w:val="0"/>
        </w:numPr>
        <w:jc w:val="both"/>
      </w:pPr>
      <w:r>
        <w:t xml:space="preserve">V grafu na obrázku č. 3 uvedený </w:t>
      </w:r>
      <w:r w:rsidR="00877A2B">
        <w:t xml:space="preserve">výčet </w:t>
      </w:r>
      <w:r w:rsidR="00E92CEA">
        <w:t xml:space="preserve">8 </w:t>
      </w:r>
      <w:r w:rsidR="008C4307">
        <w:t xml:space="preserve">druhů provozních nehod </w:t>
      </w:r>
      <w:r w:rsidR="00877A2B">
        <w:t xml:space="preserve">lze </w:t>
      </w:r>
      <w:r>
        <w:t xml:space="preserve">z dlouhodobějšího pohledu označit jako </w:t>
      </w:r>
      <w:r w:rsidR="00014E49">
        <w:t xml:space="preserve">ustálený. </w:t>
      </w:r>
    </w:p>
    <w:p w:rsidR="002B665D" w:rsidRDefault="002B665D" w:rsidP="00646CA6">
      <w:pPr>
        <w:pStyle w:val="Seznamsodrkami"/>
        <w:numPr>
          <w:ilvl w:val="0"/>
          <w:numId w:val="0"/>
        </w:numPr>
        <w:jc w:val="both"/>
      </w:pPr>
    </w:p>
    <w:p w:rsidR="00646CA6" w:rsidRDefault="002D0C06" w:rsidP="00646CA6">
      <w:pPr>
        <w:pStyle w:val="Seznamsodrkami"/>
        <w:numPr>
          <w:ilvl w:val="0"/>
          <w:numId w:val="0"/>
        </w:numPr>
        <w:jc w:val="both"/>
      </w:pPr>
      <w:r>
        <w:t xml:space="preserve">Celkový </w:t>
      </w:r>
      <w:r w:rsidR="006D7E7A">
        <w:t>v</w:t>
      </w:r>
      <w:r w:rsidRPr="002D0C06">
        <w:t>ývoj počtu ohlášených provozních nehod v předchozích 10 letech j</w:t>
      </w:r>
      <w:r w:rsidR="00E76250">
        <w:t>e patrný z grafu na obrázku č. 4</w:t>
      </w:r>
      <w:r w:rsidRPr="002D0C06">
        <w:t>.</w:t>
      </w:r>
    </w:p>
    <w:p w:rsidR="006D7E7A" w:rsidRDefault="006D7E7A" w:rsidP="00646CA6">
      <w:pPr>
        <w:pStyle w:val="Seznamsodrkami"/>
        <w:numPr>
          <w:ilvl w:val="0"/>
          <w:numId w:val="0"/>
        </w:numPr>
        <w:jc w:val="both"/>
      </w:pPr>
    </w:p>
    <w:p w:rsidR="00434D8D" w:rsidRDefault="00646CA6" w:rsidP="00434D8D">
      <w:pPr>
        <w:keepNext/>
        <w:jc w:val="both"/>
      </w:pPr>
      <w:r>
        <w:rPr>
          <w:noProof/>
        </w:rPr>
        <w:drawing>
          <wp:inline distT="0" distB="0" distL="0" distR="0" wp14:anchorId="60ECBEC0" wp14:editId="169222C9">
            <wp:extent cx="5181600" cy="2560320"/>
            <wp:effectExtent l="0" t="0" r="0" b="11430"/>
            <wp:docPr id="2" name="Graf 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C2318" w:rsidRPr="00213866" w:rsidRDefault="00434D8D" w:rsidP="00434D8D">
      <w:pPr>
        <w:pStyle w:val="Titulek"/>
        <w:jc w:val="both"/>
        <w:rPr>
          <w:b/>
        </w:rPr>
      </w:pPr>
      <w:r w:rsidRPr="00213866">
        <w:rPr>
          <w:b/>
        </w:rPr>
        <w:t xml:space="preserve">Obrázek </w:t>
      </w:r>
      <w:r w:rsidR="004443D4" w:rsidRPr="00213866">
        <w:rPr>
          <w:b/>
        </w:rPr>
        <w:fldChar w:fldCharType="begin"/>
      </w:r>
      <w:r w:rsidR="004443D4" w:rsidRPr="00213866">
        <w:rPr>
          <w:b/>
        </w:rPr>
        <w:instrText xml:space="preserve"> SEQ Obrázek \* ARABIC </w:instrText>
      </w:r>
      <w:r w:rsidR="004443D4" w:rsidRPr="00213866">
        <w:rPr>
          <w:b/>
        </w:rPr>
        <w:fldChar w:fldCharType="separate"/>
      </w:r>
      <w:r w:rsidR="000368B2">
        <w:rPr>
          <w:b/>
          <w:noProof/>
        </w:rPr>
        <w:t>4</w:t>
      </w:r>
      <w:r w:rsidR="004443D4" w:rsidRPr="00213866">
        <w:rPr>
          <w:b/>
          <w:noProof/>
        </w:rPr>
        <w:fldChar w:fldCharType="end"/>
      </w:r>
      <w:r w:rsidRPr="00213866">
        <w:rPr>
          <w:b/>
        </w:rPr>
        <w:t xml:space="preserve"> Počet </w:t>
      </w:r>
      <w:r w:rsidR="006D7E7A" w:rsidRPr="00213866">
        <w:rPr>
          <w:b/>
        </w:rPr>
        <w:t>ohlášených provozních nehod</w:t>
      </w:r>
      <w:r w:rsidR="00213866" w:rsidRPr="00213866">
        <w:rPr>
          <w:b/>
        </w:rPr>
        <w:t>.</w:t>
      </w:r>
    </w:p>
    <w:p w:rsidR="007423ED" w:rsidRPr="007423ED" w:rsidRDefault="002A4BF4" w:rsidP="002A4BF4">
      <w:pPr>
        <w:jc w:val="both"/>
      </w:pPr>
      <w:r>
        <w:t>Ze shromážděných údajů je</w:t>
      </w:r>
      <w:r w:rsidR="00F13C11">
        <w:t xml:space="preserve"> zřejmé</w:t>
      </w:r>
      <w:r>
        <w:t xml:space="preserve">, že </w:t>
      </w:r>
      <w:r w:rsidR="00507C69">
        <w:t xml:space="preserve">poklesu počtu provozních nehod </w:t>
      </w:r>
      <w:r w:rsidR="00F241E8">
        <w:t xml:space="preserve">bránilo </w:t>
      </w:r>
      <w:r w:rsidR="00507C69">
        <w:t xml:space="preserve">zejména </w:t>
      </w:r>
      <w:r w:rsidR="00FC1658">
        <w:t xml:space="preserve">působení přetrvávajících rizik v oblasti nakládání s výbušninami a při provozu technických zařízení. </w:t>
      </w:r>
    </w:p>
    <w:p w:rsidR="006A3B2A" w:rsidRPr="0040697D" w:rsidRDefault="000A1A32" w:rsidP="006E000A">
      <w:pPr>
        <w:pStyle w:val="Nadpis11"/>
        <w:spacing w:before="120"/>
        <w:rPr>
          <w:color w:val="006600"/>
        </w:rPr>
      </w:pPr>
      <w:bookmarkStart w:id="4" w:name="_Toc513105514"/>
      <w:r w:rsidRPr="0040697D">
        <w:rPr>
          <w:color w:val="006600"/>
        </w:rPr>
        <w:lastRenderedPageBreak/>
        <w:t>Pracovní úrazy</w:t>
      </w:r>
      <w:bookmarkEnd w:id="4"/>
    </w:p>
    <w:p w:rsidR="00A1248C" w:rsidRDefault="00F43B87" w:rsidP="00F43B87">
      <w:pPr>
        <w:jc w:val="both"/>
      </w:pPr>
      <w:r>
        <w:t>Z</w:t>
      </w:r>
      <w:r w:rsidR="001E2279">
        <w:t xml:space="preserve"> výše uvedeného </w:t>
      </w:r>
      <w:r>
        <w:t xml:space="preserve">porovnání </w:t>
      </w:r>
      <w:r w:rsidR="00AA605F">
        <w:t xml:space="preserve">celkového počtu pracovních úrazů </w:t>
      </w:r>
      <w:r>
        <w:t xml:space="preserve">je </w:t>
      </w:r>
      <w:r w:rsidR="00843D9B">
        <w:t xml:space="preserve">zřejmý </w:t>
      </w:r>
      <w:r w:rsidR="003C7F98">
        <w:t xml:space="preserve">meziroční </w:t>
      </w:r>
      <w:r w:rsidR="00843D9B">
        <w:t xml:space="preserve">nárůst </w:t>
      </w:r>
      <w:r w:rsidR="00CB71BE">
        <w:br/>
      </w:r>
      <w:r w:rsidR="003C7F98">
        <w:t xml:space="preserve">o </w:t>
      </w:r>
      <w:r w:rsidR="00942653">
        <w:t xml:space="preserve">30 pracovních úrazů. </w:t>
      </w:r>
      <w:r w:rsidR="003365A9">
        <w:t xml:space="preserve">Největší </w:t>
      </w:r>
      <w:r w:rsidR="00DF20B6">
        <w:t xml:space="preserve">nárůst </w:t>
      </w:r>
      <w:r w:rsidR="00AE7066">
        <w:t xml:space="preserve">v počtu pracovních úrazů byl zaznamenán v oblasti nakládání s výbušninami. </w:t>
      </w:r>
      <w:r w:rsidR="0002215A">
        <w:t xml:space="preserve">V roce 2016 bylo při nakládání s výbušninami </w:t>
      </w:r>
      <w:r w:rsidR="002D266F">
        <w:t xml:space="preserve">zaevidováno </w:t>
      </w:r>
      <w:r w:rsidR="00CB71BE">
        <w:br/>
      </w:r>
      <w:r w:rsidR="0002215A">
        <w:t>25 pracovních úrazů</w:t>
      </w:r>
      <w:r w:rsidR="002D266F">
        <w:t>, přičemž v roce 2017 to bylo 60 pracovních úrazů.</w:t>
      </w:r>
      <w:r w:rsidR="00717AEF">
        <w:t xml:space="preserve"> </w:t>
      </w:r>
    </w:p>
    <w:p w:rsidR="009B5CEB" w:rsidRDefault="00961A56" w:rsidP="00F43B87">
      <w:pPr>
        <w:jc w:val="both"/>
      </w:pPr>
      <w:r>
        <w:t>Graf na obrázku č. 5 zachycuje podrobnější rozdělení počtu pracovních úrazů podle druhů těžených surovin a dozorovaných činností.</w:t>
      </w:r>
    </w:p>
    <w:p w:rsidR="00EA3624" w:rsidRDefault="000F4A08" w:rsidP="00EA3624">
      <w:pPr>
        <w:keepNext/>
        <w:jc w:val="both"/>
      </w:pPr>
      <w:r>
        <w:rPr>
          <w:noProof/>
        </w:rPr>
        <w:drawing>
          <wp:inline distT="0" distB="0" distL="0" distR="0" wp14:anchorId="2F68ED55" wp14:editId="37FFEA28">
            <wp:extent cx="5204460" cy="3213735"/>
            <wp:effectExtent l="0" t="0" r="15240" b="571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5CEB" w:rsidRPr="0067770D" w:rsidRDefault="00EA3624" w:rsidP="00EA3624">
      <w:pPr>
        <w:pStyle w:val="Titulek"/>
        <w:jc w:val="both"/>
        <w:rPr>
          <w:b/>
        </w:rPr>
      </w:pPr>
      <w:r w:rsidRPr="0067770D">
        <w:rPr>
          <w:b/>
        </w:rPr>
        <w:t xml:space="preserve">Obrázek </w:t>
      </w:r>
      <w:r w:rsidR="004443D4" w:rsidRPr="0067770D">
        <w:rPr>
          <w:b/>
        </w:rPr>
        <w:fldChar w:fldCharType="begin"/>
      </w:r>
      <w:r w:rsidR="004443D4" w:rsidRPr="0067770D">
        <w:rPr>
          <w:b/>
        </w:rPr>
        <w:instrText xml:space="preserve"> SEQ Obrázek \* ARABIC </w:instrText>
      </w:r>
      <w:r w:rsidR="004443D4" w:rsidRPr="0067770D">
        <w:rPr>
          <w:b/>
        </w:rPr>
        <w:fldChar w:fldCharType="separate"/>
      </w:r>
      <w:r w:rsidR="000368B2">
        <w:rPr>
          <w:b/>
          <w:noProof/>
        </w:rPr>
        <w:t>5</w:t>
      </w:r>
      <w:r w:rsidR="004443D4" w:rsidRPr="0067770D">
        <w:rPr>
          <w:b/>
          <w:noProof/>
        </w:rPr>
        <w:fldChar w:fldCharType="end"/>
      </w:r>
      <w:r w:rsidRPr="0067770D">
        <w:rPr>
          <w:b/>
        </w:rPr>
        <w:t xml:space="preserve"> </w:t>
      </w:r>
      <w:r w:rsidR="00A1248C" w:rsidRPr="0067770D">
        <w:rPr>
          <w:b/>
        </w:rPr>
        <w:t xml:space="preserve">Pracovní úrazy </w:t>
      </w:r>
      <w:r w:rsidRPr="0067770D">
        <w:rPr>
          <w:b/>
        </w:rPr>
        <w:t xml:space="preserve">podle druhů těžených nerostů a </w:t>
      </w:r>
      <w:r w:rsidR="00C8752E" w:rsidRPr="0067770D">
        <w:rPr>
          <w:b/>
        </w:rPr>
        <w:t xml:space="preserve">dozorovaných </w:t>
      </w:r>
      <w:r w:rsidRPr="0067770D">
        <w:rPr>
          <w:b/>
        </w:rPr>
        <w:t>činností</w:t>
      </w:r>
      <w:r w:rsidR="00517E55" w:rsidRPr="0067770D">
        <w:rPr>
          <w:b/>
        </w:rPr>
        <w:t>.</w:t>
      </w:r>
    </w:p>
    <w:p w:rsidR="00F23CB9" w:rsidRDefault="00F23CB9" w:rsidP="00F23CB9">
      <w:pPr>
        <w:jc w:val="both"/>
      </w:pPr>
      <w:r>
        <w:t>Z pohledu zaevidovaného počtu pracovních úrazů se jeví jako nejrizikovější činnost těžba černého uhlí, která je prováděna pouze hlubinným způsobem. Jako druhou nejrizikovější činnost lze označit těžbu hnědého uhlí, která je zejména prováděna povrchovým způsobem. Těžba ostatních surovin</w:t>
      </w:r>
      <w:r w:rsidR="00CA5D52">
        <w:t xml:space="preserve"> </w:t>
      </w:r>
      <w:r>
        <w:t xml:space="preserve">je především prováděna povrchovým způsobem. Z hlediska zaevidovaného počtu pracovních úrazů je třetí nejrizikovější činností. </w:t>
      </w:r>
    </w:p>
    <w:p w:rsidR="00F23CB9" w:rsidRDefault="00F23CB9" w:rsidP="00F23CB9">
      <w:pPr>
        <w:jc w:val="both"/>
      </w:pPr>
      <w:r>
        <w:t xml:space="preserve">Z ostatních dozorovaných činností určuje počet pracovních úrazů jako nejrizikovější činnost nakládání s výbušninami, kdy při výrobě výbušnin došlo ke dvěma hromadným pracovním úrazům.  </w:t>
      </w:r>
    </w:p>
    <w:p w:rsidR="00F23CB9" w:rsidRDefault="00A07EDD" w:rsidP="00F23CB9">
      <w:pPr>
        <w:jc w:val="both"/>
      </w:pPr>
      <w:r>
        <w:lastRenderedPageBreak/>
        <w:t>V záznamech o úrazu je zaměstnavateli nejčastěji označována příčina „š</w:t>
      </w:r>
      <w:r w:rsidR="00F23CB9">
        <w:t>patně nebo nedostatečně odhadnuté riziko</w:t>
      </w:r>
      <w:r>
        <w:t xml:space="preserve">“, a to </w:t>
      </w:r>
      <w:r w:rsidR="001422BB">
        <w:t xml:space="preserve">především </w:t>
      </w:r>
      <w:r w:rsidR="00F23CB9">
        <w:t xml:space="preserve">v kombinaci se zdroji: </w:t>
      </w:r>
    </w:p>
    <w:p w:rsidR="00F23CB9" w:rsidRDefault="00F23CB9" w:rsidP="00F23CB9">
      <w:pPr>
        <w:pStyle w:val="Seznamsodrkami"/>
      </w:pPr>
      <w:r>
        <w:t>stroje a zařízení přenosná a mobilní,</w:t>
      </w:r>
    </w:p>
    <w:p w:rsidR="00F23CB9" w:rsidRDefault="00F23CB9" w:rsidP="00F23CB9">
      <w:pPr>
        <w:pStyle w:val="Seznamsodrkami"/>
      </w:pPr>
      <w:r>
        <w:t xml:space="preserve">pád na rovině, z výšky, do hloubky, propadnutí, nástroj, přístroj, nářadí.  </w:t>
      </w:r>
    </w:p>
    <w:p w:rsidR="00F23CB9" w:rsidRDefault="00F23CB9" w:rsidP="00F23CB9">
      <w:pPr>
        <w:jc w:val="both"/>
      </w:pPr>
      <w:r>
        <w:t>Jedná se o dlouhodoběji přetrvávající stav, který je zaznamenáván i v jiných analyzovaných údajích. Mezi takové údaje zejména patří největší počet pracovních úrazů v prvním odpracovaném roce v zaměstnání, ve 3. odpracované hodině ve směně, a v rozmezí 9</w:t>
      </w:r>
      <w:r w:rsidR="000478C4">
        <w:t xml:space="preserve">. - </w:t>
      </w:r>
      <w:r>
        <w:t>10. měsíce každého kalendářního roku.</w:t>
      </w:r>
    </w:p>
    <w:p w:rsidR="00324B9A" w:rsidRDefault="00324B9A" w:rsidP="00B41BBC">
      <w:pPr>
        <w:jc w:val="both"/>
      </w:pPr>
      <w:r>
        <w:t xml:space="preserve">Celkový </w:t>
      </w:r>
      <w:r w:rsidR="00B41BBC">
        <w:t xml:space="preserve">vývoj pracovní úrazovosti zachycuje graf na obrázku č. 6 Vývoj pracovní úrazovosti  </w:t>
      </w:r>
      <w:r w:rsidR="00B41BBC" w:rsidRPr="00B41BBC">
        <w:t>2008  - 2017</w:t>
      </w:r>
      <w:r w:rsidR="00B41BBC">
        <w:t>.</w:t>
      </w:r>
    </w:p>
    <w:p w:rsidR="00324B9A" w:rsidRDefault="000717D4" w:rsidP="00324B9A">
      <w:pPr>
        <w:keepNext/>
        <w:jc w:val="both"/>
      </w:pPr>
      <w:r>
        <w:rPr>
          <w:noProof/>
        </w:rPr>
        <w:drawing>
          <wp:inline distT="0" distB="0" distL="0" distR="0" wp14:anchorId="04F1CC8F" wp14:editId="31E8F8D0">
            <wp:extent cx="5204460" cy="2148840"/>
            <wp:effectExtent l="0" t="0" r="15240" b="3810"/>
            <wp:docPr id="12" name="Graf 1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17D4" w:rsidRPr="0067770D" w:rsidRDefault="00324B9A" w:rsidP="00324B9A">
      <w:pPr>
        <w:pStyle w:val="Titulek"/>
        <w:jc w:val="both"/>
        <w:rPr>
          <w:b/>
        </w:rPr>
      </w:pPr>
      <w:r w:rsidRPr="0067770D">
        <w:rPr>
          <w:b/>
        </w:rPr>
        <w:t xml:space="preserve">Obrázek </w:t>
      </w:r>
      <w:r w:rsidR="004443D4" w:rsidRPr="0067770D">
        <w:rPr>
          <w:b/>
        </w:rPr>
        <w:fldChar w:fldCharType="begin"/>
      </w:r>
      <w:r w:rsidR="004443D4" w:rsidRPr="0067770D">
        <w:rPr>
          <w:b/>
        </w:rPr>
        <w:instrText xml:space="preserve"> SEQ Obrázek \* ARABIC </w:instrText>
      </w:r>
      <w:r w:rsidR="004443D4" w:rsidRPr="0067770D">
        <w:rPr>
          <w:b/>
        </w:rPr>
        <w:fldChar w:fldCharType="separate"/>
      </w:r>
      <w:r w:rsidR="000368B2">
        <w:rPr>
          <w:b/>
          <w:noProof/>
        </w:rPr>
        <w:t>6</w:t>
      </w:r>
      <w:r w:rsidR="004443D4" w:rsidRPr="0067770D">
        <w:rPr>
          <w:b/>
          <w:noProof/>
        </w:rPr>
        <w:fldChar w:fldCharType="end"/>
      </w:r>
      <w:r w:rsidRPr="0067770D">
        <w:rPr>
          <w:b/>
        </w:rPr>
        <w:t xml:space="preserve"> Vývoj pracovní úrazovosti</w:t>
      </w:r>
      <w:r w:rsidR="00707C0A" w:rsidRPr="0067770D">
        <w:rPr>
          <w:b/>
        </w:rPr>
        <w:t xml:space="preserve"> v hornictví a při nakládání s výbušninami od roku 2008.</w:t>
      </w:r>
    </w:p>
    <w:p w:rsidR="000C13AB" w:rsidRDefault="00707C0A" w:rsidP="000C13AB">
      <w:pPr>
        <w:jc w:val="both"/>
      </w:pPr>
      <w:r>
        <w:t xml:space="preserve">Celkový vývoj pracovních úrazů vztažených na 1000 zaměstnaných osob při těžbě nerostů zachycuje graf na obrázku č. </w:t>
      </w:r>
      <w:r w:rsidR="00BD3384">
        <w:t>7.</w:t>
      </w:r>
    </w:p>
    <w:p w:rsidR="00697764" w:rsidRDefault="001B3665" w:rsidP="000C13AB">
      <w:pPr>
        <w:jc w:val="both"/>
      </w:pPr>
      <w:r>
        <w:rPr>
          <w:noProof/>
        </w:rPr>
        <w:drawing>
          <wp:inline distT="0" distB="0" distL="0" distR="0" wp14:anchorId="4889B167" wp14:editId="550170DC">
            <wp:extent cx="5166360" cy="1680210"/>
            <wp:effectExtent l="0" t="0" r="15240" b="15240"/>
            <wp:docPr id="16" name="Graf 16">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00000000-0008-0000-1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1DFA" w:rsidRPr="0067770D" w:rsidRDefault="00697764" w:rsidP="0067770D">
      <w:pPr>
        <w:pStyle w:val="Titulek"/>
        <w:jc w:val="both"/>
        <w:rPr>
          <w:b/>
        </w:rPr>
      </w:pPr>
      <w:r w:rsidRPr="0067770D">
        <w:rPr>
          <w:b/>
        </w:rPr>
        <w:t xml:space="preserve">Obrázek </w:t>
      </w:r>
      <w:r w:rsidR="004443D4" w:rsidRPr="0067770D">
        <w:rPr>
          <w:b/>
        </w:rPr>
        <w:fldChar w:fldCharType="begin"/>
      </w:r>
      <w:r w:rsidR="004443D4" w:rsidRPr="0067770D">
        <w:rPr>
          <w:b/>
        </w:rPr>
        <w:instrText xml:space="preserve"> SEQ Obrázek \* ARABIC </w:instrText>
      </w:r>
      <w:r w:rsidR="004443D4" w:rsidRPr="0067770D">
        <w:rPr>
          <w:b/>
        </w:rPr>
        <w:fldChar w:fldCharType="separate"/>
      </w:r>
      <w:r w:rsidR="000368B2">
        <w:rPr>
          <w:b/>
          <w:noProof/>
        </w:rPr>
        <w:t>7</w:t>
      </w:r>
      <w:r w:rsidR="004443D4" w:rsidRPr="0067770D">
        <w:rPr>
          <w:b/>
          <w:noProof/>
        </w:rPr>
        <w:fldChar w:fldCharType="end"/>
      </w:r>
      <w:r w:rsidRPr="0067770D">
        <w:rPr>
          <w:b/>
        </w:rPr>
        <w:t xml:space="preserve"> Vývoj počtu praco</w:t>
      </w:r>
      <w:r w:rsidR="007D60EB" w:rsidRPr="0067770D">
        <w:rPr>
          <w:b/>
        </w:rPr>
        <w:t xml:space="preserve">vních úrazů vztažených na 1000 </w:t>
      </w:r>
      <w:r w:rsidRPr="0067770D">
        <w:rPr>
          <w:b/>
        </w:rPr>
        <w:t>zaměstnaných osob při těžbě nerostů</w:t>
      </w:r>
      <w:r w:rsidR="000478C4" w:rsidRPr="0067770D">
        <w:rPr>
          <w:b/>
        </w:rPr>
        <w:t>.</w:t>
      </w:r>
    </w:p>
    <w:p w:rsidR="00F83DEE" w:rsidRDefault="00593725" w:rsidP="00F83DEE">
      <w:pPr>
        <w:jc w:val="both"/>
      </w:pPr>
      <w:r>
        <w:lastRenderedPageBreak/>
        <w:t>Z dalších shromážděných podkladů je patrné, že p</w:t>
      </w:r>
      <w:r w:rsidR="00F83DEE">
        <w:t>racovní úrazy ve 283 případech byly příčinou 16 716 dní pracovní neschopnosti s průměrnou dobou trvání pracovní neschopnosti necelých 60 dní/pracovní úraz.</w:t>
      </w:r>
    </w:p>
    <w:p w:rsidR="006A3B2A" w:rsidRDefault="005B3462">
      <w:pPr>
        <w:pStyle w:val="Nadpis21"/>
      </w:pPr>
      <w:r>
        <w:t>Závažné pracovní úrazy</w:t>
      </w:r>
    </w:p>
    <w:p w:rsidR="00F37D5E" w:rsidRDefault="0020026E" w:rsidP="006E41E8">
      <w:pPr>
        <w:jc w:val="both"/>
        <w:rPr>
          <w:rFonts w:cs="Calibri"/>
        </w:rPr>
      </w:pPr>
      <w:r>
        <w:t>Z porovnání celkového počtu závažných pracovních úrazů na obrázku č. 1 je zřejmý meziroční nárůst o 1 závažný pracovní úraz.</w:t>
      </w:r>
      <w:r w:rsidR="007302C9">
        <w:t xml:space="preserve"> </w:t>
      </w:r>
      <w:r w:rsidR="006E41E8">
        <w:rPr>
          <w:rFonts w:cs="Calibri"/>
        </w:rPr>
        <w:t>V roce 2017 došlo k</w:t>
      </w:r>
      <w:r w:rsidR="00697764" w:rsidRPr="003C1222">
        <w:rPr>
          <w:rFonts w:cs="Calibri"/>
        </w:rPr>
        <w:t xml:space="preserve"> jednomu závažnému pracovnímu úrazu v podzemním stavitelství při ražbě tunelu a </w:t>
      </w:r>
      <w:r w:rsidR="003B47FD">
        <w:rPr>
          <w:rFonts w:cs="Calibri"/>
        </w:rPr>
        <w:t>k</w:t>
      </w:r>
      <w:r w:rsidR="00697764">
        <w:rPr>
          <w:rFonts w:cs="Calibri"/>
        </w:rPr>
        <w:t xml:space="preserve"> </w:t>
      </w:r>
      <w:r w:rsidR="00697764" w:rsidRPr="003C1222">
        <w:rPr>
          <w:rFonts w:cs="Calibri"/>
        </w:rPr>
        <w:t xml:space="preserve">4 závažným pracovním úrazům při výrobě výbušnin. </w:t>
      </w:r>
    </w:p>
    <w:p w:rsidR="0091391F" w:rsidRDefault="00697764" w:rsidP="006E41E8">
      <w:pPr>
        <w:jc w:val="both"/>
        <w:rPr>
          <w:rFonts w:cs="Calibri"/>
        </w:rPr>
      </w:pPr>
      <w:r w:rsidRPr="003C1222">
        <w:rPr>
          <w:rFonts w:cs="Calibri"/>
        </w:rPr>
        <w:t xml:space="preserve">Základní údaje o závažných pracovních úrazech sumarizuje tabulka č. </w:t>
      </w:r>
      <w:r w:rsidR="006E41E8">
        <w:rPr>
          <w:rFonts w:cs="Calibri"/>
        </w:rPr>
        <w:t>2</w:t>
      </w:r>
      <w:r w:rsidR="0091391F">
        <w:rPr>
          <w:rFonts w:cs="Calibri"/>
        </w:rPr>
        <w:t xml:space="preserve"> </w:t>
      </w:r>
      <w:r w:rsidR="0091391F">
        <w:t>Rozdělení počtu závažných pracovních úrazů podle zdrojů a příčin</w:t>
      </w:r>
      <w:r w:rsidR="006E41E8">
        <w:rPr>
          <w:rFonts w:cs="Calibri"/>
        </w:rPr>
        <w:t>.</w:t>
      </w:r>
    </w:p>
    <w:tbl>
      <w:tblPr>
        <w:tblStyle w:val="Svtlseznamzvraznn11"/>
        <w:tblW w:w="5121" w:type="pct"/>
        <w:tblLook w:val="04A0" w:firstRow="1" w:lastRow="0" w:firstColumn="1" w:lastColumn="0" w:noHBand="0" w:noVBand="1"/>
      </w:tblPr>
      <w:tblGrid>
        <w:gridCol w:w="1149"/>
        <w:gridCol w:w="571"/>
        <w:gridCol w:w="2549"/>
        <w:gridCol w:w="1650"/>
        <w:gridCol w:w="1301"/>
        <w:gridCol w:w="1154"/>
      </w:tblGrid>
      <w:tr w:rsidR="00CA4465" w:rsidRPr="007F20D3" w:rsidTr="00A841AB">
        <w:trPr>
          <w:cnfStyle w:val="100000000000" w:firstRow="1" w:lastRow="0" w:firstColumn="0" w:lastColumn="0" w:oddVBand="0" w:evenVBand="0" w:oddHBand="0" w:evenHBand="0" w:firstRowFirstColumn="0" w:firstRowLastColumn="0" w:lastRowFirstColumn="0" w:lastRowLastColumn="0"/>
          <w:trHeight w:val="2201"/>
        </w:trPr>
        <w:tc>
          <w:tcPr>
            <w:cnfStyle w:val="001000000000" w:firstRow="0" w:lastRow="0" w:firstColumn="1" w:lastColumn="0" w:oddVBand="0" w:evenVBand="0" w:oddHBand="0" w:evenHBand="0" w:firstRowFirstColumn="0" w:firstRowLastColumn="0" w:lastRowFirstColumn="0" w:lastRowLastColumn="0"/>
            <w:tcW w:w="686" w:type="pct"/>
            <w:textDirection w:val="btLr"/>
            <w:hideMark/>
          </w:tcPr>
          <w:p w:rsidR="007F20D3" w:rsidRPr="007F20D3" w:rsidRDefault="007F20D3" w:rsidP="007F20D3">
            <w:pPr>
              <w:spacing w:before="40" w:after="40"/>
              <w:ind w:left="113" w:right="113"/>
              <w:rPr>
                <w:rFonts w:ascii="Calibri" w:eastAsia="Calibri" w:hAnsi="Calibri" w:cs="Calibri"/>
              </w:rPr>
            </w:pPr>
            <w:r w:rsidRPr="007F20D3">
              <w:rPr>
                <w:rFonts w:ascii="Calibri" w:eastAsia="Calibri" w:hAnsi="Calibri" w:cs="Calibri"/>
              </w:rPr>
              <w:t>ČINNOST</w:t>
            </w:r>
          </w:p>
        </w:tc>
        <w:tc>
          <w:tcPr>
            <w:tcW w:w="341" w:type="pct"/>
            <w:textDirection w:val="btLr"/>
            <w:hideMark/>
          </w:tcPr>
          <w:p w:rsidR="007F20D3" w:rsidRPr="007F20D3" w:rsidRDefault="007F20D3" w:rsidP="007F20D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POČET</w:t>
            </w:r>
          </w:p>
        </w:tc>
        <w:tc>
          <w:tcPr>
            <w:tcW w:w="1522" w:type="pct"/>
            <w:textDirection w:val="btLr"/>
            <w:hideMark/>
          </w:tcPr>
          <w:p w:rsidR="007F20D3" w:rsidRPr="007F20D3" w:rsidRDefault="007F20D3" w:rsidP="007F20D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 xml:space="preserve">ZDROJ </w:t>
            </w:r>
          </w:p>
        </w:tc>
        <w:tc>
          <w:tcPr>
            <w:tcW w:w="985" w:type="pct"/>
            <w:textDirection w:val="btLr"/>
            <w:hideMark/>
          </w:tcPr>
          <w:p w:rsidR="007F20D3" w:rsidRPr="007F20D3" w:rsidRDefault="007F20D3" w:rsidP="007F20D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PŘÍČINA</w:t>
            </w:r>
          </w:p>
        </w:tc>
        <w:tc>
          <w:tcPr>
            <w:tcW w:w="777" w:type="pct"/>
            <w:textDirection w:val="btLr"/>
            <w:hideMark/>
          </w:tcPr>
          <w:p w:rsidR="007F20D3" w:rsidRPr="007F20D3" w:rsidRDefault="007F20D3" w:rsidP="007F20D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 xml:space="preserve">ODPRACOVANÁ </w:t>
            </w:r>
            <w:r w:rsidRPr="007F20D3">
              <w:rPr>
                <w:rFonts w:ascii="Calibri" w:eastAsia="Calibri" w:hAnsi="Calibri" w:cs="Calibri"/>
              </w:rPr>
              <w:br/>
              <w:t xml:space="preserve">DOBA V ZAMĚSTNÁNÍ </w:t>
            </w:r>
          </w:p>
        </w:tc>
        <w:tc>
          <w:tcPr>
            <w:tcW w:w="689" w:type="pct"/>
            <w:textDirection w:val="btLr"/>
            <w:hideMark/>
          </w:tcPr>
          <w:p w:rsidR="007F20D3" w:rsidRPr="007F20D3" w:rsidRDefault="007F20D3" w:rsidP="007F20D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POČET ODPRACOVANÝCH HODIN VE SMĚNĚ</w:t>
            </w:r>
          </w:p>
        </w:tc>
      </w:tr>
      <w:tr w:rsidR="00CA4465" w:rsidRPr="007F20D3" w:rsidTr="00A841AB">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686" w:type="pct"/>
            <w:textDirection w:val="btLr"/>
            <w:hideMark/>
          </w:tcPr>
          <w:p w:rsidR="007F20D3" w:rsidRPr="007F20D3" w:rsidRDefault="00A841AB" w:rsidP="007F20D3">
            <w:pPr>
              <w:spacing w:before="60" w:after="60"/>
              <w:ind w:left="113" w:right="113"/>
              <w:jc w:val="center"/>
              <w:rPr>
                <w:rFonts w:ascii="Calibri" w:eastAsia="Calibri" w:hAnsi="Calibri" w:cs="Calibri"/>
                <w:color w:val="000000"/>
              </w:rPr>
            </w:pPr>
            <w:r>
              <w:rPr>
                <w:rFonts w:ascii="Calibri" w:eastAsia="Calibri" w:hAnsi="Calibri" w:cs="Calibri"/>
                <w:color w:val="000000"/>
              </w:rPr>
              <w:t>p</w:t>
            </w:r>
            <w:r w:rsidR="007F20D3" w:rsidRPr="007F20D3">
              <w:rPr>
                <w:rFonts w:ascii="Calibri" w:eastAsia="Calibri" w:hAnsi="Calibri" w:cs="Calibri"/>
                <w:color w:val="000000"/>
              </w:rPr>
              <w:t xml:space="preserve">odzemní stavitelství </w:t>
            </w:r>
          </w:p>
        </w:tc>
        <w:tc>
          <w:tcPr>
            <w:tcW w:w="341" w:type="pct"/>
            <w:vAlign w:val="center"/>
            <w:hideMark/>
          </w:tcPr>
          <w:p w:rsidR="007F20D3" w:rsidRPr="007F20D3" w:rsidRDefault="007F20D3" w:rsidP="007F20D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color w:val="404040"/>
              </w:rPr>
              <w:t>1</w:t>
            </w:r>
          </w:p>
        </w:tc>
        <w:tc>
          <w:tcPr>
            <w:tcW w:w="1522" w:type="pct"/>
            <w:vAlign w:val="center"/>
            <w:hideMark/>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materiál, břemena, předměty (pád, přiražení, odlétnutí, náraz, zavalení)</w:t>
            </w:r>
          </w:p>
        </w:tc>
        <w:tc>
          <w:tcPr>
            <w:tcW w:w="985" w:type="pct"/>
            <w:vAlign w:val="center"/>
            <w:hideMark/>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pro jiný blíže nespecifikovaný důvod</w:t>
            </w:r>
          </w:p>
        </w:tc>
        <w:tc>
          <w:tcPr>
            <w:tcW w:w="777" w:type="pct"/>
            <w:vAlign w:val="center"/>
            <w:hideMark/>
          </w:tcPr>
          <w:p w:rsidR="007F20D3" w:rsidRPr="007F20D3" w:rsidRDefault="007F20D3" w:rsidP="007F20D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4 měsíce</w:t>
            </w:r>
          </w:p>
        </w:tc>
        <w:tc>
          <w:tcPr>
            <w:tcW w:w="689" w:type="pct"/>
            <w:vAlign w:val="center"/>
            <w:hideMark/>
          </w:tcPr>
          <w:p w:rsidR="007F20D3" w:rsidRPr="007F20D3" w:rsidRDefault="007F20D3" w:rsidP="007F20D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5</w:t>
            </w:r>
          </w:p>
        </w:tc>
      </w:tr>
      <w:tr w:rsidR="00CA4465" w:rsidRPr="007F20D3" w:rsidTr="00A841AB">
        <w:tc>
          <w:tcPr>
            <w:cnfStyle w:val="001000000000" w:firstRow="0" w:lastRow="0" w:firstColumn="1" w:lastColumn="0" w:oddVBand="0" w:evenVBand="0" w:oddHBand="0" w:evenHBand="0" w:firstRowFirstColumn="0" w:firstRowLastColumn="0" w:lastRowFirstColumn="0" w:lastRowLastColumn="0"/>
            <w:tcW w:w="686" w:type="pct"/>
            <w:vMerge w:val="restart"/>
            <w:textDirection w:val="btLr"/>
            <w:hideMark/>
          </w:tcPr>
          <w:p w:rsidR="007F20D3" w:rsidRPr="007F20D3" w:rsidRDefault="00A841AB" w:rsidP="007F20D3">
            <w:pPr>
              <w:spacing w:before="60" w:after="60"/>
              <w:ind w:left="113" w:right="113"/>
              <w:jc w:val="center"/>
              <w:rPr>
                <w:rFonts w:ascii="Calibri" w:eastAsia="Calibri" w:hAnsi="Calibri" w:cs="Calibri"/>
                <w:color w:val="000000"/>
              </w:rPr>
            </w:pPr>
            <w:r>
              <w:rPr>
                <w:rFonts w:ascii="Calibri" w:eastAsia="Calibri" w:hAnsi="Calibri" w:cs="Calibri"/>
                <w:color w:val="000000"/>
              </w:rPr>
              <w:t>n</w:t>
            </w:r>
            <w:r w:rsidR="007F20D3" w:rsidRPr="007F20D3">
              <w:rPr>
                <w:rFonts w:ascii="Calibri" w:eastAsia="Calibri" w:hAnsi="Calibri" w:cs="Calibri"/>
                <w:color w:val="000000"/>
              </w:rPr>
              <w:t xml:space="preserve">akládání </w:t>
            </w:r>
            <w:r w:rsidR="007F20D3" w:rsidRPr="007F20D3">
              <w:rPr>
                <w:rFonts w:ascii="Calibri" w:eastAsia="Calibri" w:hAnsi="Calibri" w:cs="Calibri"/>
                <w:color w:val="000000"/>
              </w:rPr>
              <w:br/>
              <w:t>s výbušninami</w:t>
            </w:r>
          </w:p>
          <w:p w:rsidR="007F20D3" w:rsidRPr="007F20D3" w:rsidRDefault="007F20D3" w:rsidP="007F20D3">
            <w:pPr>
              <w:rPr>
                <w:rFonts w:ascii="Calibri" w:eastAsia="Calibri" w:hAnsi="Calibri" w:cs="Calibri"/>
                <w:color w:val="000000"/>
              </w:rPr>
            </w:pPr>
            <w:r w:rsidRPr="007F20D3">
              <w:rPr>
                <w:rFonts w:ascii="Calibri" w:eastAsia="Calibri" w:hAnsi="Calibri" w:cs="Calibri"/>
                <w:color w:val="000000"/>
              </w:rPr>
              <w:t xml:space="preserve"> </w:t>
            </w:r>
          </w:p>
        </w:tc>
        <w:tc>
          <w:tcPr>
            <w:tcW w:w="341" w:type="pct"/>
            <w:vMerge w:val="restart"/>
            <w:vAlign w:val="center"/>
            <w:hideMark/>
          </w:tcPr>
          <w:p w:rsidR="007F20D3" w:rsidRPr="007F20D3" w:rsidRDefault="007F20D3" w:rsidP="007F20D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color w:val="404040"/>
              </w:rPr>
              <w:t>4</w:t>
            </w:r>
          </w:p>
        </w:tc>
        <w:tc>
          <w:tcPr>
            <w:tcW w:w="1522" w:type="pct"/>
          </w:tcPr>
          <w:p w:rsidR="007F20D3" w:rsidRPr="007F20D3" w:rsidRDefault="007F20D3" w:rsidP="007F20D3">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 xml:space="preserve">pro jiný blíže nespecifikovaný zdroj </w:t>
            </w:r>
          </w:p>
        </w:tc>
        <w:tc>
          <w:tcPr>
            <w:tcW w:w="985" w:type="pct"/>
            <w:hideMark/>
          </w:tcPr>
          <w:p w:rsidR="007F20D3" w:rsidRPr="007F20D3" w:rsidRDefault="007F20D3" w:rsidP="007F20D3">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pro jiný blíže nespecifikovaný důvod</w:t>
            </w:r>
          </w:p>
        </w:tc>
        <w:tc>
          <w:tcPr>
            <w:tcW w:w="777" w:type="pct"/>
            <w:vAlign w:val="center"/>
            <w:hideMark/>
          </w:tcPr>
          <w:p w:rsidR="007F20D3" w:rsidRPr="007F20D3" w:rsidRDefault="007F20D3" w:rsidP="007F20D3">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 xml:space="preserve">11 měsíců </w:t>
            </w:r>
          </w:p>
        </w:tc>
        <w:tc>
          <w:tcPr>
            <w:tcW w:w="689" w:type="pct"/>
            <w:vAlign w:val="center"/>
            <w:hideMark/>
          </w:tcPr>
          <w:p w:rsidR="007F20D3" w:rsidRPr="007F20D3" w:rsidRDefault="007F20D3" w:rsidP="007F20D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6</w:t>
            </w:r>
          </w:p>
        </w:tc>
      </w:tr>
      <w:tr w:rsidR="00CA4465" w:rsidRPr="007F20D3" w:rsidTr="00A8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hideMark/>
          </w:tcPr>
          <w:p w:rsidR="007F20D3" w:rsidRPr="007F20D3" w:rsidRDefault="007F20D3" w:rsidP="007F20D3">
            <w:pPr>
              <w:rPr>
                <w:rFonts w:ascii="Calibri" w:eastAsia="Calibri" w:hAnsi="Calibri" w:cs="Calibri"/>
                <w:color w:val="000000"/>
              </w:rPr>
            </w:pPr>
          </w:p>
        </w:tc>
        <w:tc>
          <w:tcPr>
            <w:tcW w:w="341" w:type="pct"/>
            <w:vMerge/>
            <w:hideMark/>
          </w:tcPr>
          <w:p w:rsidR="007F20D3" w:rsidRPr="007F20D3" w:rsidRDefault="007F20D3" w:rsidP="007F20D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p>
        </w:tc>
        <w:tc>
          <w:tcPr>
            <w:tcW w:w="1522" w:type="pct"/>
            <w:hideMark/>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 xml:space="preserve">pro jiný blíže nespecifikovaný zdroj </w:t>
            </w:r>
          </w:p>
        </w:tc>
        <w:tc>
          <w:tcPr>
            <w:tcW w:w="985" w:type="pct"/>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pro jiný blíže nespecifikovaný důvod</w:t>
            </w:r>
          </w:p>
        </w:tc>
        <w:tc>
          <w:tcPr>
            <w:tcW w:w="777" w:type="pct"/>
            <w:hideMark/>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r w:rsidRPr="007F20D3">
              <w:rPr>
                <w:rFonts w:ascii="Calibri" w:eastAsia="Calibri" w:hAnsi="Calibri" w:cs="Calibri"/>
              </w:rPr>
              <w:t xml:space="preserve">1 rok </w:t>
            </w:r>
            <w:r w:rsidRPr="007F20D3">
              <w:rPr>
                <w:rFonts w:ascii="Calibri" w:eastAsia="Calibri" w:hAnsi="Calibri" w:cs="Calibri"/>
              </w:rPr>
              <w:br/>
              <w:t>a 2 měsíce</w:t>
            </w:r>
          </w:p>
        </w:tc>
        <w:tc>
          <w:tcPr>
            <w:tcW w:w="689" w:type="pct"/>
            <w:vAlign w:val="center"/>
            <w:hideMark/>
          </w:tcPr>
          <w:p w:rsidR="007F20D3" w:rsidRPr="007F20D3" w:rsidRDefault="007F20D3" w:rsidP="007F20D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F20D3">
              <w:rPr>
                <w:rFonts w:ascii="Calibri" w:eastAsia="Calibri" w:hAnsi="Calibri" w:cs="Calibri"/>
              </w:rPr>
              <w:t>6</w:t>
            </w:r>
          </w:p>
        </w:tc>
      </w:tr>
      <w:tr w:rsidR="00CA4465" w:rsidRPr="007F20D3" w:rsidTr="00A841AB">
        <w:tc>
          <w:tcPr>
            <w:cnfStyle w:val="001000000000" w:firstRow="0" w:lastRow="0" w:firstColumn="1" w:lastColumn="0" w:oddVBand="0" w:evenVBand="0" w:oddHBand="0" w:evenHBand="0" w:firstRowFirstColumn="0" w:firstRowLastColumn="0" w:lastRowFirstColumn="0" w:lastRowLastColumn="0"/>
            <w:tcW w:w="686" w:type="pct"/>
            <w:vMerge/>
          </w:tcPr>
          <w:p w:rsidR="007F20D3" w:rsidRPr="007F20D3" w:rsidRDefault="007F20D3" w:rsidP="007F20D3">
            <w:pPr>
              <w:rPr>
                <w:rFonts w:ascii="Calibri" w:eastAsia="Calibri" w:hAnsi="Calibri" w:cs="Calibri"/>
                <w:color w:val="000000"/>
              </w:rPr>
            </w:pPr>
          </w:p>
        </w:tc>
        <w:tc>
          <w:tcPr>
            <w:tcW w:w="341" w:type="pct"/>
            <w:vMerge/>
          </w:tcPr>
          <w:p w:rsidR="007F20D3" w:rsidRPr="007F20D3" w:rsidRDefault="007F20D3" w:rsidP="007F20D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404040"/>
              </w:rPr>
            </w:pPr>
          </w:p>
        </w:tc>
        <w:tc>
          <w:tcPr>
            <w:tcW w:w="1522" w:type="pct"/>
          </w:tcPr>
          <w:p w:rsidR="007F20D3" w:rsidRPr="007F20D3" w:rsidRDefault="007F20D3" w:rsidP="007F20D3">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 xml:space="preserve">pro jiný blíže nespecifikovaný zdroj </w:t>
            </w:r>
          </w:p>
        </w:tc>
        <w:tc>
          <w:tcPr>
            <w:tcW w:w="985" w:type="pct"/>
          </w:tcPr>
          <w:p w:rsidR="007F20D3" w:rsidRPr="007F20D3" w:rsidRDefault="007F20D3" w:rsidP="007F20D3">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pro jiný blíže nespecifikovaný důvod</w:t>
            </w:r>
          </w:p>
        </w:tc>
        <w:tc>
          <w:tcPr>
            <w:tcW w:w="777" w:type="pct"/>
          </w:tcPr>
          <w:p w:rsidR="007F20D3" w:rsidRPr="007F20D3" w:rsidRDefault="007F20D3" w:rsidP="007F20D3">
            <w:pPr>
              <w:spacing w:before="60" w:after="60"/>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 xml:space="preserve">1 rok </w:t>
            </w:r>
            <w:r w:rsidRPr="007F20D3">
              <w:rPr>
                <w:rFonts w:ascii="Calibri" w:eastAsia="Calibri" w:hAnsi="Calibri" w:cs="Calibri"/>
              </w:rPr>
              <w:br/>
              <w:t>a 1 měsíc</w:t>
            </w:r>
          </w:p>
        </w:tc>
        <w:tc>
          <w:tcPr>
            <w:tcW w:w="689" w:type="pct"/>
            <w:vAlign w:val="center"/>
          </w:tcPr>
          <w:p w:rsidR="007F20D3" w:rsidRPr="007F20D3" w:rsidRDefault="007F20D3" w:rsidP="007F20D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F20D3">
              <w:rPr>
                <w:rFonts w:ascii="Calibri" w:eastAsia="Calibri" w:hAnsi="Calibri" w:cs="Calibri"/>
              </w:rPr>
              <w:t>6</w:t>
            </w:r>
          </w:p>
        </w:tc>
      </w:tr>
      <w:tr w:rsidR="00CA4465" w:rsidRPr="007F20D3" w:rsidTr="00A841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 w:type="pct"/>
            <w:vMerge/>
          </w:tcPr>
          <w:p w:rsidR="007F20D3" w:rsidRPr="007F20D3" w:rsidRDefault="007F20D3" w:rsidP="007F20D3">
            <w:pPr>
              <w:rPr>
                <w:rFonts w:ascii="Calibri" w:eastAsia="Calibri" w:hAnsi="Calibri" w:cs="Calibri"/>
                <w:color w:val="000000"/>
              </w:rPr>
            </w:pPr>
          </w:p>
        </w:tc>
        <w:tc>
          <w:tcPr>
            <w:tcW w:w="341" w:type="pct"/>
            <w:vMerge/>
          </w:tcPr>
          <w:p w:rsidR="007F20D3" w:rsidRPr="007F20D3" w:rsidRDefault="007F20D3" w:rsidP="007F20D3">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404040"/>
              </w:rPr>
            </w:pPr>
          </w:p>
        </w:tc>
        <w:tc>
          <w:tcPr>
            <w:tcW w:w="1522" w:type="pct"/>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F20D3">
              <w:rPr>
                <w:rFonts w:ascii="Calibri" w:eastAsia="Calibri" w:hAnsi="Calibri" w:cs="Calibri"/>
              </w:rPr>
              <w:t xml:space="preserve">pro jiný blíže nespecifikovaný zdroj </w:t>
            </w:r>
          </w:p>
        </w:tc>
        <w:tc>
          <w:tcPr>
            <w:tcW w:w="985" w:type="pct"/>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F20D3">
              <w:rPr>
                <w:rFonts w:ascii="Calibri" w:eastAsia="Calibri" w:hAnsi="Calibri" w:cs="Calibri"/>
              </w:rPr>
              <w:t>pro jiný blíže nespecifikovaný důvod</w:t>
            </w:r>
          </w:p>
        </w:tc>
        <w:tc>
          <w:tcPr>
            <w:tcW w:w="777" w:type="pct"/>
            <w:vAlign w:val="center"/>
          </w:tcPr>
          <w:p w:rsidR="007F20D3" w:rsidRPr="007F20D3" w:rsidRDefault="007F20D3" w:rsidP="007F20D3">
            <w:pPr>
              <w:spacing w:before="60" w:after="60"/>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F20D3">
              <w:rPr>
                <w:rFonts w:ascii="Calibri" w:eastAsia="Calibri" w:hAnsi="Calibri" w:cs="Calibri"/>
              </w:rPr>
              <w:t>4 měsíce</w:t>
            </w:r>
          </w:p>
        </w:tc>
        <w:tc>
          <w:tcPr>
            <w:tcW w:w="689" w:type="pct"/>
            <w:vAlign w:val="center"/>
          </w:tcPr>
          <w:p w:rsidR="007F20D3" w:rsidRPr="007F20D3" w:rsidRDefault="007F20D3" w:rsidP="007F20D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F20D3">
              <w:rPr>
                <w:rFonts w:ascii="Calibri" w:eastAsia="Calibri" w:hAnsi="Calibri" w:cs="Calibri"/>
              </w:rPr>
              <w:t>5</w:t>
            </w:r>
          </w:p>
        </w:tc>
      </w:tr>
    </w:tbl>
    <w:p w:rsidR="00A2557B" w:rsidRPr="00A2557B" w:rsidRDefault="00A2557B" w:rsidP="00217D8F">
      <w:pPr>
        <w:pStyle w:val="Titulek"/>
        <w:jc w:val="center"/>
        <w:rPr>
          <w:sz w:val="10"/>
          <w:szCs w:val="10"/>
        </w:rPr>
      </w:pPr>
    </w:p>
    <w:p w:rsidR="007F20D3" w:rsidRPr="0067770D" w:rsidRDefault="00217D8F" w:rsidP="00A2557B">
      <w:pPr>
        <w:pStyle w:val="Titulek"/>
        <w:rPr>
          <w:b/>
        </w:rPr>
      </w:pPr>
      <w:r w:rsidRPr="0067770D">
        <w:rPr>
          <w:b/>
        </w:rPr>
        <w:t xml:space="preserve">Tabulka 2 </w:t>
      </w:r>
      <w:r w:rsidR="00F37EFC" w:rsidRPr="0067770D">
        <w:rPr>
          <w:b/>
        </w:rPr>
        <w:t>Rozdělení počtu závažných pracovních úrazů podle zdrojů a příčin</w:t>
      </w:r>
      <w:r w:rsidR="00517E55" w:rsidRPr="0067770D">
        <w:rPr>
          <w:b/>
        </w:rPr>
        <w:t>.</w:t>
      </w:r>
    </w:p>
    <w:p w:rsidR="00EE3F51" w:rsidRDefault="00EE3F51" w:rsidP="00EE3F51">
      <w:pPr>
        <w:jc w:val="both"/>
      </w:pPr>
      <w:r>
        <w:lastRenderedPageBreak/>
        <w:t xml:space="preserve">K údajům uvedeným v tabulce č. </w:t>
      </w:r>
      <w:r w:rsidR="00A37A76">
        <w:t>2</w:t>
      </w:r>
      <w:r>
        <w:t xml:space="preserve"> lze doplnit, že při </w:t>
      </w:r>
      <w:r w:rsidR="008632DF">
        <w:t xml:space="preserve">jednom </w:t>
      </w:r>
      <w:r>
        <w:t>hromadném úrazu</w:t>
      </w:r>
      <w:r w:rsidR="008632DF">
        <w:t xml:space="preserve"> </w:t>
      </w:r>
      <w:r w:rsidR="007724BF">
        <w:t xml:space="preserve">došlo </w:t>
      </w:r>
      <w:r w:rsidR="00CC31E8">
        <w:br/>
      </w:r>
      <w:proofErr w:type="gramStart"/>
      <w:r w:rsidR="007724BF">
        <w:t>ke</w:t>
      </w:r>
      <w:proofErr w:type="gramEnd"/>
      <w:r w:rsidR="007724BF">
        <w:t xml:space="preserve"> 4 </w:t>
      </w:r>
      <w:r w:rsidR="008632DF">
        <w:t xml:space="preserve">závažným pracovním úrazům </w:t>
      </w:r>
      <w:r w:rsidR="007724BF">
        <w:t xml:space="preserve">a  </w:t>
      </w:r>
      <w:r>
        <w:t xml:space="preserve">15 </w:t>
      </w:r>
      <w:r w:rsidR="007724BF">
        <w:t>ostatním pracovním úrazům.</w:t>
      </w:r>
      <w:r>
        <w:t xml:space="preserve"> </w:t>
      </w:r>
    </w:p>
    <w:p w:rsidR="00F83DEE" w:rsidRPr="007423ED" w:rsidRDefault="00F83DEE" w:rsidP="00F83DEE">
      <w:pPr>
        <w:jc w:val="both"/>
      </w:pPr>
      <w:r>
        <w:t>Ze shromážděných údajů je</w:t>
      </w:r>
      <w:r w:rsidR="00E708D4">
        <w:t xml:space="preserve"> zřejmé</w:t>
      </w:r>
      <w:r>
        <w:t xml:space="preserve">, že poklesu počtu závažných pracovních úrazů v roce 2017 především </w:t>
      </w:r>
      <w:r w:rsidR="00314BA6">
        <w:t xml:space="preserve">bránilo </w:t>
      </w:r>
      <w:r>
        <w:t xml:space="preserve">působení přetrvávajících rizik v oblasti nakládání s výbušninami. </w:t>
      </w:r>
    </w:p>
    <w:p w:rsidR="006A3B2A" w:rsidRDefault="00A37A76">
      <w:pPr>
        <w:pStyle w:val="Nadpis21"/>
      </w:pPr>
      <w:r>
        <w:t xml:space="preserve">Smrtelné </w:t>
      </w:r>
      <w:r w:rsidR="00116D25">
        <w:t xml:space="preserve">úrazy </w:t>
      </w:r>
    </w:p>
    <w:p w:rsidR="00F172EA" w:rsidRDefault="003B47FD" w:rsidP="00E46681">
      <w:pPr>
        <w:jc w:val="both"/>
      </w:pPr>
      <w:r>
        <w:t xml:space="preserve">Z porovnání celkového počtu smrtelných úrazů je zřejmý </w:t>
      </w:r>
      <w:r w:rsidR="007A2A9A">
        <w:t xml:space="preserve">setrvalý stav. </w:t>
      </w:r>
      <w:r w:rsidR="00F172EA">
        <w:t xml:space="preserve">Základní údaje </w:t>
      </w:r>
      <w:r w:rsidR="00E46681">
        <w:br/>
      </w:r>
      <w:r w:rsidR="00F172EA">
        <w:t xml:space="preserve">o smrtelných úrazech sumarizuje tabulka č. </w:t>
      </w:r>
      <w:r w:rsidR="00DE5274">
        <w:t>3 Rozdělení počtu smrtelných úrazů podle zdrojů a příčin.</w:t>
      </w:r>
    </w:p>
    <w:tbl>
      <w:tblPr>
        <w:tblStyle w:val="Svtlseznamzvraznn11"/>
        <w:tblW w:w="4974" w:type="pct"/>
        <w:tblLook w:val="04A0" w:firstRow="1" w:lastRow="0" w:firstColumn="1" w:lastColumn="0" w:noHBand="0" w:noVBand="1"/>
      </w:tblPr>
      <w:tblGrid>
        <w:gridCol w:w="835"/>
        <w:gridCol w:w="2250"/>
        <w:gridCol w:w="2547"/>
        <w:gridCol w:w="1252"/>
        <w:gridCol w:w="1249"/>
      </w:tblGrid>
      <w:tr w:rsidR="009F69ED" w:rsidRPr="006D4081" w:rsidTr="00CC31E8">
        <w:trPr>
          <w:cnfStyle w:val="100000000000" w:firstRow="1" w:lastRow="0" w:firstColumn="0" w:lastColumn="0" w:oddVBand="0" w:evenVBand="0" w:oddHBand="0"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513" w:type="pct"/>
            <w:textDirection w:val="btLr"/>
            <w:vAlign w:val="center"/>
            <w:hideMark/>
          </w:tcPr>
          <w:p w:rsidR="009F69ED" w:rsidRPr="00EF77A4" w:rsidRDefault="009F69ED" w:rsidP="005059B3">
            <w:pPr>
              <w:spacing w:before="40" w:after="40"/>
              <w:ind w:left="113" w:right="113"/>
              <w:rPr>
                <w:rFonts w:ascii="Calibri" w:hAnsi="Calibri" w:cs="Calibri"/>
                <w:color w:val="FFFFFF" w:themeColor="background1"/>
              </w:rPr>
            </w:pPr>
            <w:r w:rsidRPr="00EF77A4">
              <w:rPr>
                <w:rFonts w:ascii="Calibri" w:hAnsi="Calibri" w:cs="Calibri"/>
                <w:color w:val="FFFFFF" w:themeColor="background1"/>
              </w:rPr>
              <w:t>POČET</w:t>
            </w:r>
          </w:p>
        </w:tc>
        <w:tc>
          <w:tcPr>
            <w:tcW w:w="1383" w:type="pct"/>
            <w:textDirection w:val="btLr"/>
            <w:vAlign w:val="center"/>
            <w:hideMark/>
          </w:tcPr>
          <w:p w:rsidR="009F69ED" w:rsidRPr="00EF77A4" w:rsidRDefault="009F69ED" w:rsidP="005059B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EF77A4">
              <w:rPr>
                <w:rFonts w:ascii="Calibri" w:hAnsi="Calibri" w:cs="Calibri"/>
                <w:color w:val="FFFFFF" w:themeColor="background1"/>
              </w:rPr>
              <w:t>ZDROJ</w:t>
            </w:r>
          </w:p>
        </w:tc>
        <w:tc>
          <w:tcPr>
            <w:tcW w:w="1566" w:type="pct"/>
            <w:textDirection w:val="btLr"/>
            <w:vAlign w:val="center"/>
            <w:hideMark/>
          </w:tcPr>
          <w:p w:rsidR="009F69ED" w:rsidRPr="00EF77A4" w:rsidRDefault="009F69ED" w:rsidP="005059B3">
            <w:pPr>
              <w:spacing w:before="40" w:after="40"/>
              <w:ind w:left="113" w:right="113"/>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EF77A4">
              <w:rPr>
                <w:rFonts w:ascii="Calibri" w:hAnsi="Calibri" w:cs="Calibri"/>
                <w:color w:val="FFFFFF" w:themeColor="background1"/>
              </w:rPr>
              <w:t>PŘÍČINA</w:t>
            </w:r>
          </w:p>
        </w:tc>
        <w:tc>
          <w:tcPr>
            <w:tcW w:w="770" w:type="pct"/>
            <w:textDirection w:val="btLr"/>
            <w:vAlign w:val="center"/>
            <w:hideMark/>
          </w:tcPr>
          <w:p w:rsidR="009F69ED" w:rsidRPr="00EF77A4" w:rsidRDefault="009F69ED" w:rsidP="00CC31E8">
            <w:pPr>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EF77A4">
              <w:rPr>
                <w:rFonts w:ascii="Calibri" w:hAnsi="Calibri" w:cs="Calibri"/>
                <w:color w:val="FFFFFF" w:themeColor="background1"/>
              </w:rPr>
              <w:t xml:space="preserve">ODPRACOVANÁ </w:t>
            </w:r>
            <w:r w:rsidRPr="00EF77A4">
              <w:rPr>
                <w:rFonts w:ascii="Calibri" w:hAnsi="Calibri" w:cs="Calibri"/>
                <w:color w:val="FFFFFF" w:themeColor="background1"/>
              </w:rPr>
              <w:br/>
              <w:t>DOBA V ZAMĚSTNÁNÍ</w:t>
            </w:r>
          </w:p>
        </w:tc>
        <w:tc>
          <w:tcPr>
            <w:tcW w:w="768" w:type="pct"/>
            <w:textDirection w:val="btLr"/>
            <w:vAlign w:val="center"/>
            <w:hideMark/>
          </w:tcPr>
          <w:p w:rsidR="009F69ED" w:rsidRPr="00EF77A4" w:rsidRDefault="009F69ED" w:rsidP="005059B3">
            <w:pPr>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EF77A4">
              <w:rPr>
                <w:rFonts w:ascii="Calibri" w:hAnsi="Calibri" w:cs="Calibri"/>
                <w:color w:val="FFFFFF" w:themeColor="background1"/>
              </w:rPr>
              <w:t>POČET ODPRACOVANÝCH HODIN VE SMĚNĚ</w:t>
            </w:r>
          </w:p>
        </w:tc>
      </w:tr>
      <w:tr w:rsidR="009F69ED" w:rsidRPr="006D4081" w:rsidTr="003A1867">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513" w:type="pct"/>
            <w:vAlign w:val="center"/>
            <w:hideMark/>
          </w:tcPr>
          <w:p w:rsidR="009F69ED" w:rsidRPr="00C26C73" w:rsidRDefault="009F69ED" w:rsidP="00DA7253">
            <w:pPr>
              <w:spacing w:before="60" w:after="60"/>
              <w:jc w:val="center"/>
              <w:rPr>
                <w:rFonts w:ascii="Calibri" w:hAnsi="Calibri" w:cs="Calibri"/>
                <w:b w:val="0"/>
                <w:color w:val="404040"/>
              </w:rPr>
            </w:pPr>
            <w:r w:rsidRPr="00C26C73">
              <w:rPr>
                <w:rFonts w:ascii="Calibri" w:hAnsi="Calibri" w:cs="Calibri"/>
              </w:rPr>
              <w:t>1</w:t>
            </w:r>
          </w:p>
        </w:tc>
        <w:tc>
          <w:tcPr>
            <w:tcW w:w="1383" w:type="pct"/>
            <w:vAlign w:val="center"/>
          </w:tcPr>
          <w:p w:rsidR="009F69ED" w:rsidRPr="00C26C73" w:rsidRDefault="009F69ED" w:rsidP="00DA7253">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color w:val="404040"/>
              </w:rPr>
            </w:pPr>
            <w:r w:rsidRPr="00C26C73">
              <w:rPr>
                <w:rFonts w:ascii="Calibri" w:hAnsi="Calibri" w:cs="Calibri"/>
              </w:rPr>
              <w:t>stroje a zařízení stabilní</w:t>
            </w:r>
          </w:p>
        </w:tc>
        <w:tc>
          <w:tcPr>
            <w:tcW w:w="1566" w:type="pct"/>
            <w:vAlign w:val="center"/>
          </w:tcPr>
          <w:p w:rsidR="009F69ED" w:rsidRPr="00C26C73" w:rsidRDefault="009F69ED" w:rsidP="00DA7253">
            <w:pPr>
              <w:spacing w:before="60" w:after="60"/>
              <w:cnfStyle w:val="000000100000" w:firstRow="0" w:lastRow="0" w:firstColumn="0" w:lastColumn="0" w:oddVBand="0" w:evenVBand="0" w:oddHBand="1" w:evenHBand="0" w:firstRowFirstColumn="0" w:firstRowLastColumn="0" w:lastRowFirstColumn="0" w:lastRowLastColumn="0"/>
              <w:rPr>
                <w:rFonts w:ascii="Calibri" w:hAnsi="Calibri" w:cs="Calibri"/>
                <w:color w:val="404040"/>
              </w:rPr>
            </w:pPr>
            <w:r w:rsidRPr="00C26C73">
              <w:rPr>
                <w:rFonts w:ascii="Calibri" w:hAnsi="Calibri" w:cs="Calibri"/>
              </w:rPr>
              <w:t>pro nepředvídatelné riziko práce</w:t>
            </w:r>
          </w:p>
        </w:tc>
        <w:tc>
          <w:tcPr>
            <w:tcW w:w="770" w:type="pct"/>
            <w:vAlign w:val="center"/>
            <w:hideMark/>
          </w:tcPr>
          <w:p w:rsidR="009F69ED" w:rsidRPr="00C26C73" w:rsidRDefault="009F69ED" w:rsidP="00DA725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404040"/>
              </w:rPr>
            </w:pPr>
            <w:r w:rsidRPr="00C26C73">
              <w:rPr>
                <w:rFonts w:ascii="Calibri" w:hAnsi="Calibri" w:cs="Calibri"/>
              </w:rPr>
              <w:t xml:space="preserve">1 rok </w:t>
            </w:r>
            <w:r w:rsidRPr="00C26C73">
              <w:rPr>
                <w:rFonts w:ascii="Calibri" w:hAnsi="Calibri" w:cs="Calibri"/>
              </w:rPr>
              <w:br/>
              <w:t>a 10 měsíců</w:t>
            </w:r>
          </w:p>
        </w:tc>
        <w:tc>
          <w:tcPr>
            <w:tcW w:w="768" w:type="pct"/>
            <w:vAlign w:val="center"/>
            <w:hideMark/>
          </w:tcPr>
          <w:p w:rsidR="009F69ED" w:rsidRPr="00C26C73" w:rsidRDefault="009F69ED" w:rsidP="00DA7253">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404040"/>
              </w:rPr>
            </w:pPr>
            <w:r w:rsidRPr="00C26C73">
              <w:rPr>
                <w:rFonts w:ascii="Calibri" w:hAnsi="Calibri" w:cs="Calibri"/>
              </w:rPr>
              <w:t>3,2</w:t>
            </w:r>
          </w:p>
        </w:tc>
      </w:tr>
      <w:tr w:rsidR="009F69ED" w:rsidRPr="006D4081" w:rsidTr="003A1867">
        <w:trPr>
          <w:trHeight w:val="1100"/>
        </w:trPr>
        <w:tc>
          <w:tcPr>
            <w:cnfStyle w:val="001000000000" w:firstRow="0" w:lastRow="0" w:firstColumn="1" w:lastColumn="0" w:oddVBand="0" w:evenVBand="0" w:oddHBand="0" w:evenHBand="0" w:firstRowFirstColumn="0" w:firstRowLastColumn="0" w:lastRowFirstColumn="0" w:lastRowLastColumn="0"/>
            <w:tcW w:w="513" w:type="pct"/>
            <w:vAlign w:val="center"/>
            <w:hideMark/>
          </w:tcPr>
          <w:p w:rsidR="009F69ED" w:rsidRPr="00C26C73" w:rsidRDefault="009F69ED" w:rsidP="00DA7253">
            <w:pPr>
              <w:spacing w:before="60" w:after="60"/>
              <w:jc w:val="center"/>
              <w:rPr>
                <w:rFonts w:ascii="Calibri" w:hAnsi="Calibri" w:cs="Calibri"/>
                <w:b w:val="0"/>
                <w:color w:val="404040"/>
              </w:rPr>
            </w:pPr>
            <w:r w:rsidRPr="00C26C73">
              <w:rPr>
                <w:rFonts w:ascii="Calibri" w:hAnsi="Calibri" w:cs="Calibri"/>
              </w:rPr>
              <w:t>1</w:t>
            </w:r>
          </w:p>
        </w:tc>
        <w:tc>
          <w:tcPr>
            <w:tcW w:w="1383" w:type="pct"/>
            <w:vAlign w:val="center"/>
          </w:tcPr>
          <w:p w:rsidR="009F69ED" w:rsidRPr="00C26C73" w:rsidRDefault="009F69ED" w:rsidP="00DA725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color w:val="404040"/>
              </w:rPr>
            </w:pPr>
            <w:r w:rsidRPr="00C26C73">
              <w:rPr>
                <w:rFonts w:ascii="Calibri" w:hAnsi="Calibri" w:cs="Calibri"/>
              </w:rPr>
              <w:t>materiál, břemena, předměty (pád, přiražení, odlétnutí, náraz, zavalení)</w:t>
            </w:r>
          </w:p>
        </w:tc>
        <w:tc>
          <w:tcPr>
            <w:tcW w:w="1566" w:type="pct"/>
            <w:vAlign w:val="center"/>
            <w:hideMark/>
          </w:tcPr>
          <w:p w:rsidR="009F69ED" w:rsidRPr="00C26C73" w:rsidRDefault="009F69ED" w:rsidP="00DA7253">
            <w:pPr>
              <w:spacing w:before="60" w:after="60"/>
              <w:cnfStyle w:val="000000000000" w:firstRow="0" w:lastRow="0" w:firstColumn="0" w:lastColumn="0" w:oddVBand="0" w:evenVBand="0" w:oddHBand="0" w:evenHBand="0" w:firstRowFirstColumn="0" w:firstRowLastColumn="0" w:lastRowFirstColumn="0" w:lastRowLastColumn="0"/>
              <w:rPr>
                <w:rFonts w:ascii="Calibri" w:hAnsi="Calibri" w:cs="Calibri"/>
                <w:color w:val="404040"/>
              </w:rPr>
            </w:pPr>
            <w:r w:rsidRPr="00C26C73">
              <w:rPr>
                <w:rFonts w:ascii="Calibri" w:hAnsi="Calibri" w:cs="Calibri"/>
              </w:rPr>
              <w:t>pro nepředvídatelné riziko práce</w:t>
            </w:r>
          </w:p>
        </w:tc>
        <w:tc>
          <w:tcPr>
            <w:tcW w:w="770" w:type="pct"/>
            <w:vAlign w:val="center"/>
            <w:hideMark/>
          </w:tcPr>
          <w:p w:rsidR="009F69ED" w:rsidRPr="00C26C73" w:rsidRDefault="009F69ED" w:rsidP="00DA725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404040"/>
              </w:rPr>
            </w:pPr>
            <w:r w:rsidRPr="00C26C73">
              <w:rPr>
                <w:rFonts w:ascii="Calibri" w:hAnsi="Calibri" w:cs="Calibri"/>
              </w:rPr>
              <w:t>27 roků</w:t>
            </w:r>
          </w:p>
        </w:tc>
        <w:tc>
          <w:tcPr>
            <w:tcW w:w="768" w:type="pct"/>
            <w:vAlign w:val="center"/>
            <w:hideMark/>
          </w:tcPr>
          <w:p w:rsidR="009F69ED" w:rsidRPr="00C26C73" w:rsidRDefault="009F69ED" w:rsidP="00DA7253">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404040"/>
              </w:rPr>
            </w:pPr>
            <w:r w:rsidRPr="00C26C73">
              <w:rPr>
                <w:rFonts w:ascii="Calibri" w:hAnsi="Calibri" w:cs="Calibri"/>
                <w:color w:val="404040"/>
              </w:rPr>
              <w:t>1,5</w:t>
            </w:r>
          </w:p>
        </w:tc>
      </w:tr>
    </w:tbl>
    <w:p w:rsidR="00A2557B" w:rsidRPr="00A2557B" w:rsidRDefault="00A2557B" w:rsidP="009F69ED">
      <w:pPr>
        <w:pStyle w:val="Titulek"/>
        <w:jc w:val="center"/>
        <w:rPr>
          <w:sz w:val="10"/>
          <w:szCs w:val="10"/>
        </w:rPr>
      </w:pPr>
    </w:p>
    <w:p w:rsidR="009F69ED" w:rsidRPr="0067770D" w:rsidRDefault="00774733" w:rsidP="00A2557B">
      <w:pPr>
        <w:pStyle w:val="Titulek"/>
        <w:rPr>
          <w:b/>
        </w:rPr>
      </w:pPr>
      <w:r w:rsidRPr="0067770D">
        <w:rPr>
          <w:b/>
        </w:rPr>
        <w:t>Tabulka 3 Rozdělení počtu smrtelných úrazů podle zdrojů a příčin</w:t>
      </w:r>
      <w:r w:rsidR="00E46681" w:rsidRPr="0067770D">
        <w:rPr>
          <w:b/>
        </w:rPr>
        <w:t>.</w:t>
      </w:r>
    </w:p>
    <w:p w:rsidR="009F69ED" w:rsidRDefault="00DE5274" w:rsidP="00C26C73">
      <w:pPr>
        <w:jc w:val="both"/>
      </w:pPr>
      <w:r>
        <w:t>Dva smrtelné úrazy byly ohlášeny při těžbě černého uhlí. K prvnímu smrtelnému úrazu došlo při manipulaci s řetězem hřeblového dopravníku ve stěnovém porubu. Druhý smrtelný úraz se stal při vrtání vrtů pro svorník.</w:t>
      </w:r>
    </w:p>
    <w:p w:rsidR="006F614C" w:rsidRDefault="006F614C" w:rsidP="006F614C">
      <w:pPr>
        <w:pStyle w:val="Seznamsodrkami"/>
        <w:numPr>
          <w:ilvl w:val="0"/>
          <w:numId w:val="0"/>
        </w:numPr>
        <w:jc w:val="both"/>
      </w:pPr>
      <w:r>
        <w:t>Celkový v</w:t>
      </w:r>
      <w:r w:rsidRPr="002D0C06">
        <w:t xml:space="preserve">ývoj </w:t>
      </w:r>
      <w:r w:rsidR="0084368A">
        <w:t xml:space="preserve">počtu ohlášených smrtelných úrazů </w:t>
      </w:r>
      <w:r w:rsidRPr="002D0C06">
        <w:t xml:space="preserve">v předchozích 10 letech </w:t>
      </w:r>
      <w:r w:rsidR="00E708D4">
        <w:t xml:space="preserve">je graficky </w:t>
      </w:r>
      <w:r w:rsidR="006571B6">
        <w:t xml:space="preserve">zachycen </w:t>
      </w:r>
      <w:r>
        <w:t xml:space="preserve">na obrázku č. </w:t>
      </w:r>
      <w:r w:rsidR="0084368A">
        <w:t>8</w:t>
      </w:r>
      <w:r w:rsidRPr="002D0C06">
        <w:t>.</w:t>
      </w:r>
    </w:p>
    <w:p w:rsidR="00D81351" w:rsidRDefault="00D01C54" w:rsidP="00D81351">
      <w:pPr>
        <w:keepNext/>
      </w:pPr>
      <w:r>
        <w:lastRenderedPageBreak/>
        <w:t xml:space="preserve"> </w:t>
      </w:r>
      <w:r w:rsidR="00F172EA">
        <w:rPr>
          <w:noProof/>
        </w:rPr>
        <w:drawing>
          <wp:inline distT="0" distB="0" distL="0" distR="0" wp14:anchorId="644F0170" wp14:editId="404652FD">
            <wp:extent cx="5154930" cy="2663351"/>
            <wp:effectExtent l="0" t="0" r="7620" b="381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172EA" w:rsidRPr="0067770D" w:rsidRDefault="00D81351" w:rsidP="00D81351">
      <w:pPr>
        <w:pStyle w:val="Titulek"/>
        <w:rPr>
          <w:b/>
        </w:rPr>
      </w:pPr>
      <w:r w:rsidRPr="0067770D">
        <w:rPr>
          <w:b/>
        </w:rPr>
        <w:t xml:space="preserve">Obrázek </w:t>
      </w:r>
      <w:r w:rsidR="004443D4" w:rsidRPr="0067770D">
        <w:rPr>
          <w:b/>
        </w:rPr>
        <w:fldChar w:fldCharType="begin"/>
      </w:r>
      <w:r w:rsidR="004443D4" w:rsidRPr="0067770D">
        <w:rPr>
          <w:b/>
        </w:rPr>
        <w:instrText xml:space="preserve"> SEQ Obrázek \* ARABIC </w:instrText>
      </w:r>
      <w:r w:rsidR="004443D4" w:rsidRPr="0067770D">
        <w:rPr>
          <w:b/>
        </w:rPr>
        <w:fldChar w:fldCharType="separate"/>
      </w:r>
      <w:r w:rsidR="000368B2">
        <w:rPr>
          <w:b/>
          <w:noProof/>
        </w:rPr>
        <w:t>8</w:t>
      </w:r>
      <w:r w:rsidR="004443D4" w:rsidRPr="0067770D">
        <w:rPr>
          <w:b/>
          <w:noProof/>
        </w:rPr>
        <w:fldChar w:fldCharType="end"/>
      </w:r>
      <w:r w:rsidRPr="0067770D">
        <w:rPr>
          <w:b/>
        </w:rPr>
        <w:t xml:space="preserve"> </w:t>
      </w:r>
      <w:r w:rsidR="00EC2B2F" w:rsidRPr="0067770D">
        <w:rPr>
          <w:b/>
        </w:rPr>
        <w:t>Vývoj smrtelné úrazovosti v hornictví a při nakládání s výbušninami o</w:t>
      </w:r>
      <w:r w:rsidR="00E46681" w:rsidRPr="0067770D">
        <w:rPr>
          <w:b/>
        </w:rPr>
        <w:t>d</w:t>
      </w:r>
      <w:r w:rsidR="00EC2B2F" w:rsidRPr="0067770D">
        <w:rPr>
          <w:b/>
        </w:rPr>
        <w:t xml:space="preserve"> roku 2008</w:t>
      </w:r>
      <w:r w:rsidR="00E46681" w:rsidRPr="0067770D">
        <w:rPr>
          <w:b/>
        </w:rPr>
        <w:t>.</w:t>
      </w:r>
    </w:p>
    <w:p w:rsidR="002657F9" w:rsidRPr="007423ED" w:rsidRDefault="002657F9" w:rsidP="002657F9">
      <w:pPr>
        <w:jc w:val="both"/>
      </w:pPr>
      <w:r>
        <w:t>Ze shromážděných údajů je</w:t>
      </w:r>
      <w:r w:rsidR="006571B6">
        <w:t xml:space="preserve"> evidentní</w:t>
      </w:r>
      <w:r>
        <w:t xml:space="preserve">, že poklesu počtu </w:t>
      </w:r>
      <w:r w:rsidR="009C0625">
        <w:t xml:space="preserve">smrtelných </w:t>
      </w:r>
      <w:r>
        <w:t xml:space="preserve">úrazů v roce 2017 bránilo </w:t>
      </w:r>
      <w:r w:rsidR="009B0D04">
        <w:t xml:space="preserve">především </w:t>
      </w:r>
      <w:r>
        <w:t xml:space="preserve">působení přetrvávajících rizik v oblasti </w:t>
      </w:r>
      <w:r w:rsidR="009C0625">
        <w:t xml:space="preserve">dobývání energetických surovin. </w:t>
      </w:r>
    </w:p>
    <w:p w:rsidR="006A3B2A" w:rsidRDefault="00210E12" w:rsidP="006E000A">
      <w:pPr>
        <w:pStyle w:val="Nadpis11"/>
        <w:spacing w:before="120"/>
      </w:pPr>
      <w:bookmarkStart w:id="5" w:name="_Toc513105515"/>
      <w:r w:rsidRPr="0040697D">
        <w:rPr>
          <w:noProof/>
          <w:color w:val="006600"/>
        </w:rPr>
        <w:lastRenderedPageBreak/>
        <w:drawing>
          <wp:anchor distT="0" distB="0" distL="114300" distR="114300" simplePos="0" relativeHeight="251681792" behindDoc="0" locked="0" layoutInCell="1" allowOverlap="1">
            <wp:simplePos x="0" y="0"/>
            <wp:positionH relativeFrom="column">
              <wp:posOffset>-1470025</wp:posOffset>
            </wp:positionH>
            <wp:positionV relativeFrom="page">
              <wp:posOffset>1874520</wp:posOffset>
            </wp:positionV>
            <wp:extent cx="1096010" cy="2575560"/>
            <wp:effectExtent l="0" t="0" r="889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05.18 8_19 Office Lens (1).jpg"/>
                    <pic:cNvPicPr/>
                  </pic:nvPicPr>
                  <pic:blipFill>
                    <a:blip r:embed="rId20">
                      <a:extLst>
                        <a:ext uri="{28A0092B-C50C-407E-A947-70E740481C1C}">
                          <a14:useLocalDpi xmlns:a14="http://schemas.microsoft.com/office/drawing/2010/main" val="0"/>
                        </a:ext>
                      </a:extLst>
                    </a:blip>
                    <a:stretch>
                      <a:fillRect/>
                    </a:stretch>
                  </pic:blipFill>
                  <pic:spPr>
                    <a:xfrm flipH="1">
                      <a:off x="0" y="0"/>
                      <a:ext cx="1096010" cy="2575560"/>
                    </a:xfrm>
                    <a:prstGeom prst="rect">
                      <a:avLst/>
                    </a:prstGeom>
                  </pic:spPr>
                </pic:pic>
              </a:graphicData>
            </a:graphic>
            <wp14:sizeRelH relativeFrom="margin">
              <wp14:pctWidth>0</wp14:pctWidth>
            </wp14:sizeRelH>
            <wp14:sizeRelV relativeFrom="margin">
              <wp14:pctHeight>0</wp14:pctHeight>
            </wp14:sizeRelV>
          </wp:anchor>
        </w:drawing>
      </w:r>
      <w:r w:rsidR="00116D25" w:rsidRPr="0040697D">
        <w:rPr>
          <w:color w:val="006600"/>
        </w:rPr>
        <w:t>Závěr</w:t>
      </w:r>
      <w:bookmarkEnd w:id="5"/>
    </w:p>
    <w:p w:rsidR="00C6611D" w:rsidRDefault="00C6611D" w:rsidP="00C6611D">
      <w:pPr>
        <w:jc w:val="both"/>
      </w:pPr>
      <w:r>
        <w:t>Základní ukazatele úrazovosti a nehodovosti v hornictví a při nakládání s výbušninami naznačují, že stále přetrvává výskyt smrtelných úrazů a</w:t>
      </w:r>
      <w:r w:rsidR="00553F56">
        <w:t xml:space="preserve"> že </w:t>
      </w:r>
      <w:r>
        <w:t xml:space="preserve">počet závažných pracovních úrazů </w:t>
      </w:r>
      <w:r w:rsidR="00753610">
        <w:br/>
      </w:r>
      <w:r>
        <w:t>je kolísavý. Neklesá celkový počet pracovních úrazů</w:t>
      </w:r>
      <w:r w:rsidR="00553F56">
        <w:t xml:space="preserve"> a</w:t>
      </w:r>
      <w:r>
        <w:t xml:space="preserve"> počet pracovních úrazů, vztažených na 1000 zaměstnaných osob. </w:t>
      </w:r>
    </w:p>
    <w:p w:rsidR="00C6611D" w:rsidRDefault="00C6611D" w:rsidP="00C6611D">
      <w:pPr>
        <w:jc w:val="both"/>
      </w:pPr>
      <w:r>
        <w:t>Jednou ze zvolených metod, jak zaznamenaný trend vývoje základních ukazatelů bezpečnosti a nehodovosti zvrátit, je intenzivněji komunikovat s těmi, kdo nejvíce ovlivňují BOZP a BP.</w:t>
      </w:r>
    </w:p>
    <w:p w:rsidR="00210E12" w:rsidRDefault="00210E12" w:rsidP="00210E12">
      <w:pPr>
        <w:jc w:val="both"/>
      </w:pPr>
      <w:r>
        <w:t>Pokud se především zaměstnavatelům, odborovým svazům a profesním uskupením podaří zjistit od zaměstnanců počet tzv. „</w:t>
      </w:r>
      <w:proofErr w:type="spellStart"/>
      <w:r>
        <w:t>skoronehod</w:t>
      </w:r>
      <w:proofErr w:type="spellEnd"/>
      <w:r>
        <w:t>“ a tato dosud neidentifikovaná rizika řádně vyhodnotit, můžeme v BOZP a BP očekávat další zlepšení.</w:t>
      </w:r>
    </w:p>
    <w:p w:rsidR="005071B1" w:rsidRDefault="005071B1" w:rsidP="005071B1">
      <w:pPr>
        <w:jc w:val="both"/>
      </w:pPr>
      <w:r>
        <w:t xml:space="preserve">Shromažďování údajů o otázkách BOZP a BP, jejich analýza a přijímání opatření v praxi zůstávají i do budoucna společným cílem pro zaměstnavatele i pro orgány dozoru. </w:t>
      </w:r>
      <w:r w:rsidR="00B35CEE">
        <w:t xml:space="preserve"> </w:t>
      </w:r>
    </w:p>
    <w:sectPr w:rsidR="005071B1" w:rsidSect="00BA7DFB">
      <w:headerReference w:type="default" r:id="rId21"/>
      <w:pgSz w:w="11907" w:h="16839" w:code="9"/>
      <w:pgMar w:top="1148" w:right="700" w:bottom="2296" w:left="3011" w:header="1148"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968" w:rsidRDefault="00423968">
      <w:pPr>
        <w:spacing w:after="0" w:line="240" w:lineRule="auto"/>
      </w:pPr>
      <w:r>
        <w:separator/>
      </w:r>
    </w:p>
    <w:p w:rsidR="00423968" w:rsidRDefault="00423968"/>
    <w:p w:rsidR="00423968" w:rsidRDefault="00423968"/>
  </w:endnote>
  <w:endnote w:type="continuationSeparator" w:id="0">
    <w:p w:rsidR="00423968" w:rsidRDefault="00423968">
      <w:pPr>
        <w:spacing w:after="0" w:line="240" w:lineRule="auto"/>
      </w:pPr>
      <w:r>
        <w:continuationSeparator/>
      </w:r>
    </w:p>
    <w:p w:rsidR="00423968" w:rsidRDefault="00423968"/>
    <w:p w:rsidR="00423968" w:rsidRDefault="00423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968" w:rsidRDefault="00423968">
      <w:pPr>
        <w:spacing w:after="0" w:line="240" w:lineRule="auto"/>
      </w:pPr>
      <w:r>
        <w:separator/>
      </w:r>
    </w:p>
    <w:p w:rsidR="00423968" w:rsidRDefault="00423968"/>
    <w:p w:rsidR="00423968" w:rsidRDefault="00423968"/>
  </w:footnote>
  <w:footnote w:type="continuationSeparator" w:id="0">
    <w:p w:rsidR="00423968" w:rsidRDefault="00423968">
      <w:pPr>
        <w:spacing w:after="0" w:line="240" w:lineRule="auto"/>
      </w:pPr>
      <w:r>
        <w:continuationSeparator/>
      </w:r>
    </w:p>
    <w:p w:rsidR="00423968" w:rsidRDefault="00423968"/>
    <w:p w:rsidR="00423968" w:rsidRDefault="00423968"/>
  </w:footnote>
  <w:footnote w:id="1">
    <w:p w:rsidR="001023DD" w:rsidRDefault="001023DD" w:rsidP="001023DD">
      <w:pPr>
        <w:pStyle w:val="Textpoznpodarou"/>
        <w:jc w:val="both"/>
      </w:pPr>
      <w:r>
        <w:rPr>
          <w:rStyle w:val="Znakapoznpodarou"/>
        </w:rPr>
        <w:footnoteRef/>
      </w:r>
      <w:r>
        <w:t xml:space="preserve"> </w:t>
      </w:r>
      <w:r>
        <w:rPr>
          <w:sz w:val="16"/>
          <w:szCs w:val="16"/>
        </w:rPr>
        <w:t>Pracovním úrazem je poškození zdraví nebo smrt zaměstnance, došlo-li k nim nezávisle na jeho vůli krátkodobým, náhlým a násilným působením zevních vlivů při plnění pracovních úkolů nebo v přímé souvislosti s nimi.</w:t>
      </w:r>
    </w:p>
  </w:footnote>
  <w:footnote w:id="2">
    <w:p w:rsidR="000A5528" w:rsidRDefault="000A5528">
      <w:pPr>
        <w:pStyle w:val="Textpoznpodarou"/>
      </w:pPr>
      <w:r>
        <w:rPr>
          <w:rStyle w:val="Znakapoznpodarou"/>
        </w:rPr>
        <w:footnoteRef/>
      </w:r>
      <w:r>
        <w:t xml:space="preserve"> </w:t>
      </w:r>
      <w:r>
        <w:rPr>
          <w:sz w:val="16"/>
          <w:szCs w:val="16"/>
        </w:rPr>
        <w:t>Provozní nehoda (havárie) – událost, kterou byly ohroženy životy nebo zdraví osob.</w:t>
      </w:r>
    </w:p>
  </w:footnote>
  <w:footnote w:id="3">
    <w:p w:rsidR="000A5528" w:rsidRDefault="000A5528" w:rsidP="00FE0A94">
      <w:pPr>
        <w:pStyle w:val="Textpoznpodarou"/>
        <w:jc w:val="both"/>
      </w:pPr>
      <w:r>
        <w:rPr>
          <w:rStyle w:val="Znakapoznpodarou"/>
        </w:rPr>
        <w:footnoteRef/>
      </w:r>
      <w:r>
        <w:t xml:space="preserve"> </w:t>
      </w:r>
      <w:r>
        <w:rPr>
          <w:sz w:val="16"/>
          <w:szCs w:val="16"/>
        </w:rPr>
        <w:t>Hornická činnost – zejména otvírka, příprava a dobývání ložisek vyhrazených nerostů ve vlastnictví České republiky.</w:t>
      </w:r>
    </w:p>
  </w:footnote>
  <w:footnote w:id="4">
    <w:p w:rsidR="00EA51C0" w:rsidRDefault="00EA51C0" w:rsidP="00EA51C0">
      <w:pPr>
        <w:pStyle w:val="Textpoznpodarou"/>
        <w:jc w:val="both"/>
      </w:pPr>
      <w:r>
        <w:rPr>
          <w:rStyle w:val="Znakapoznpodarou"/>
        </w:rPr>
        <w:footnoteRef/>
      </w:r>
      <w:r>
        <w:t xml:space="preserve"> </w:t>
      </w:r>
      <w:r>
        <w:rPr>
          <w:sz w:val="16"/>
          <w:szCs w:val="16"/>
        </w:rPr>
        <w:t>Činností prováděnou hornickým způsobem se pro činnosti uváděné ve zprávě rozumí zejména dobývání nevyhrazených nerostů a ražby podzemních prostor.</w:t>
      </w:r>
    </w:p>
  </w:footnote>
  <w:footnote w:id="5">
    <w:p w:rsidR="00EA51C0" w:rsidRDefault="00EA51C0" w:rsidP="00EA51C0">
      <w:pPr>
        <w:pStyle w:val="Textpoznpodarou"/>
        <w:jc w:val="both"/>
      </w:pPr>
      <w:r>
        <w:rPr>
          <w:rStyle w:val="Znakapoznpodarou"/>
        </w:rPr>
        <w:footnoteRef/>
      </w:r>
      <w:r>
        <w:t xml:space="preserve"> </w:t>
      </w:r>
      <w:r>
        <w:rPr>
          <w:sz w:val="16"/>
          <w:szCs w:val="16"/>
        </w:rPr>
        <w:t xml:space="preserve">Nakládáním s výbušninami – sumární pojem, kterým se rozumí výzkum, vývoj a zkoušení výbušnin, výroba </w:t>
      </w:r>
      <w:r w:rsidR="00DC2FCA">
        <w:rPr>
          <w:sz w:val="16"/>
          <w:szCs w:val="16"/>
        </w:rPr>
        <w:br/>
      </w:r>
      <w:r>
        <w:rPr>
          <w:sz w:val="16"/>
          <w:szCs w:val="16"/>
        </w:rPr>
        <w:t xml:space="preserve">a zpracování, používání, ničení a zneškodňování, skladování, nabývání, předávání, dovoz, vývoz nebo tranzit, </w:t>
      </w:r>
      <w:r w:rsidR="00DC2FCA">
        <w:rPr>
          <w:sz w:val="16"/>
          <w:szCs w:val="16"/>
        </w:rPr>
        <w:br/>
      </w:r>
      <w:r>
        <w:rPr>
          <w:sz w:val="16"/>
          <w:szCs w:val="16"/>
        </w:rPr>
        <w:t>a přeprava výbušnin. S nakládáním s výbušninami úzce souvisí prekurzory výbušnin a nakládání s pyrotechnickými výrobky.</w:t>
      </w:r>
    </w:p>
  </w:footnote>
  <w:footnote w:id="6">
    <w:p w:rsidR="00CD7472" w:rsidRDefault="00CD7472" w:rsidP="00DC2FCA">
      <w:pPr>
        <w:pStyle w:val="Textpoznpodarou"/>
        <w:jc w:val="both"/>
      </w:pPr>
      <w:r>
        <w:rPr>
          <w:rStyle w:val="Znakapoznpodarou"/>
        </w:rPr>
        <w:footnoteRef/>
      </w:r>
      <w:r>
        <w:t xml:space="preserve"> </w:t>
      </w:r>
      <w:r w:rsidR="00AD1494" w:rsidRPr="00AD1494">
        <w:rPr>
          <w:sz w:val="16"/>
          <w:szCs w:val="16"/>
        </w:rPr>
        <w:t xml:space="preserve">§ 40 odst. </w:t>
      </w:r>
      <w:r w:rsidR="00AD1494">
        <w:rPr>
          <w:sz w:val="16"/>
          <w:szCs w:val="16"/>
        </w:rPr>
        <w:t xml:space="preserve">6 písm. c) zákona č. 61/1988 Sb., o hornické činnosti, výbušninách a o státní báňské správě, ve znění pozdějších předpisů,  </w:t>
      </w:r>
    </w:p>
  </w:footnote>
  <w:footnote w:id="7">
    <w:p w:rsidR="00DC22CD" w:rsidRDefault="00DC22CD">
      <w:pPr>
        <w:pStyle w:val="Textpoznpodarou"/>
      </w:pPr>
      <w:r>
        <w:rPr>
          <w:rStyle w:val="Znakapoznpodarou"/>
        </w:rPr>
        <w:footnoteRef/>
      </w:r>
      <w:r>
        <w:t xml:space="preserve"> </w:t>
      </w:r>
      <w:r w:rsidRPr="00D51824">
        <w:rPr>
          <w:sz w:val="16"/>
          <w:szCs w:val="16"/>
        </w:rPr>
        <w:t>BOZP a BP</w:t>
      </w:r>
      <w:r w:rsidR="00D51824" w:rsidRPr="00D51824">
        <w:rPr>
          <w:sz w:val="16"/>
          <w:szCs w:val="16"/>
        </w:rPr>
        <w:t xml:space="preserve"> – Bezpečnost a ochrana zdraví při práci a bezpečnost provozu.</w:t>
      </w:r>
    </w:p>
  </w:footnote>
  <w:footnote w:id="8">
    <w:p w:rsidR="00615C52" w:rsidRDefault="00615C52">
      <w:pPr>
        <w:pStyle w:val="Textpoznpodarou"/>
      </w:pPr>
      <w:r>
        <w:rPr>
          <w:rStyle w:val="Znakapoznpodarou"/>
        </w:rPr>
        <w:footnoteRef/>
      </w:r>
      <w:r>
        <w:t xml:space="preserve"> </w:t>
      </w:r>
      <w:r>
        <w:rPr>
          <w:sz w:val="16"/>
          <w:szCs w:val="16"/>
        </w:rPr>
        <w:t>Zejména těžba černého a hnědého uhlí a uranu.</w:t>
      </w:r>
    </w:p>
  </w:footnote>
  <w:footnote w:id="9">
    <w:p w:rsidR="00615C52" w:rsidRDefault="00615C52">
      <w:pPr>
        <w:pStyle w:val="Textpoznpodarou"/>
      </w:pPr>
      <w:r>
        <w:rPr>
          <w:rStyle w:val="Znakapoznpodarou"/>
        </w:rPr>
        <w:footnoteRef/>
      </w:r>
      <w:r>
        <w:t xml:space="preserve"> </w:t>
      </w:r>
      <w:r>
        <w:rPr>
          <w:sz w:val="16"/>
          <w:szCs w:val="16"/>
        </w:rPr>
        <w:t>Zejména štěrkopísky, vápence, kaolin a stavební kamenivo.</w:t>
      </w:r>
    </w:p>
  </w:footnote>
  <w:footnote w:id="10">
    <w:p w:rsidR="00565550" w:rsidRDefault="00565550">
      <w:pPr>
        <w:pStyle w:val="Textpoznpodarou"/>
      </w:pPr>
      <w:r>
        <w:rPr>
          <w:rStyle w:val="Znakapoznpodarou"/>
        </w:rPr>
        <w:footnoteRef/>
      </w:r>
      <w:r>
        <w:t xml:space="preserve"> </w:t>
      </w:r>
      <w:r>
        <w:rPr>
          <w:sz w:val="16"/>
          <w:szCs w:val="16"/>
        </w:rPr>
        <w:t>Český báňský úřad a 8 obvodních báňských úřadů.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10" w:type="pct"/>
      <w:jc w:val="right"/>
      <w:tblCellMar>
        <w:left w:w="0" w:type="dxa"/>
        <w:right w:w="0" w:type="dxa"/>
      </w:tblCellMar>
      <w:tblLook w:val="04A0" w:firstRow="1" w:lastRow="0" w:firstColumn="1" w:lastColumn="0" w:noHBand="0" w:noVBand="1"/>
      <w:tblDescription w:val="Table of Contents Header"/>
    </w:tblPr>
    <w:tblGrid>
      <w:gridCol w:w="2025"/>
      <w:gridCol w:w="279"/>
      <w:gridCol w:w="8203"/>
    </w:tblGrid>
    <w:tr w:rsidR="006A3B2A">
      <w:trPr>
        <w:trHeight w:hRule="exact" w:val="720"/>
        <w:jc w:val="right"/>
      </w:trPr>
      <w:tc>
        <w:tcPr>
          <w:tcW w:w="2088" w:type="dxa"/>
          <w:vAlign w:val="bottom"/>
        </w:tcPr>
        <w:p w:rsidR="006A3B2A" w:rsidRDefault="006A3B2A">
          <w:pPr>
            <w:pStyle w:val="Strnka"/>
          </w:pPr>
        </w:p>
      </w:tc>
      <w:tc>
        <w:tcPr>
          <w:tcW w:w="288" w:type="dxa"/>
          <w:shd w:val="clear" w:color="auto" w:fill="auto"/>
          <w:vAlign w:val="bottom"/>
        </w:tcPr>
        <w:p w:rsidR="006A3B2A" w:rsidRDefault="006A3B2A"/>
      </w:tc>
      <w:tc>
        <w:tcPr>
          <w:tcW w:w="8424" w:type="dxa"/>
          <w:vAlign w:val="bottom"/>
        </w:tcPr>
        <w:p w:rsidR="006A3B2A" w:rsidRDefault="00AA6481">
          <w:pPr>
            <w:pStyle w:val="Informannadpis"/>
          </w:pPr>
          <w:r w:rsidRPr="0040697D">
            <w:rPr>
              <w:color w:val="006600"/>
            </w:rPr>
            <w:t>Obsah</w:t>
          </w:r>
        </w:p>
      </w:tc>
    </w:tr>
    <w:tr w:rsidR="006A3B2A">
      <w:trPr>
        <w:trHeight w:hRule="exact" w:val="86"/>
        <w:jc w:val="right"/>
      </w:trPr>
      <w:tc>
        <w:tcPr>
          <w:tcW w:w="2088" w:type="dxa"/>
          <w:shd w:val="clear" w:color="auto" w:fill="000000" w:themeFill="text1"/>
        </w:tcPr>
        <w:p w:rsidR="006A3B2A" w:rsidRDefault="006A3B2A">
          <w:pPr>
            <w:pStyle w:val="Zhlav1"/>
          </w:pPr>
        </w:p>
      </w:tc>
      <w:tc>
        <w:tcPr>
          <w:tcW w:w="288" w:type="dxa"/>
          <w:shd w:val="clear" w:color="auto" w:fill="auto"/>
        </w:tcPr>
        <w:p w:rsidR="006A3B2A" w:rsidRDefault="006A3B2A">
          <w:pPr>
            <w:pStyle w:val="Zhlav1"/>
          </w:pPr>
        </w:p>
      </w:tc>
      <w:tc>
        <w:tcPr>
          <w:tcW w:w="8424" w:type="dxa"/>
          <w:shd w:val="clear" w:color="auto" w:fill="000000" w:themeFill="text1"/>
        </w:tcPr>
        <w:p w:rsidR="006A3B2A" w:rsidRDefault="006A3B2A">
          <w:pPr>
            <w:pStyle w:val="Zhlav1"/>
          </w:pPr>
        </w:p>
      </w:tc>
    </w:tr>
  </w:tbl>
  <w:p w:rsidR="006A3B2A" w:rsidRDefault="006A3B2A">
    <w:pPr>
      <w:pStyle w:val="Zhlav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31"/>
      <w:gridCol w:w="281"/>
      <w:gridCol w:w="8195"/>
    </w:tblGrid>
    <w:tr w:rsidR="006A3B2A">
      <w:trPr>
        <w:trHeight w:hRule="exact" w:val="720"/>
        <w:jc w:val="right"/>
      </w:trPr>
      <w:tc>
        <w:tcPr>
          <w:tcW w:w="2088" w:type="dxa"/>
          <w:vAlign w:val="bottom"/>
        </w:tcPr>
        <w:p w:rsidR="006A3B2A" w:rsidRDefault="00AA6481">
          <w:pPr>
            <w:pStyle w:val="Strnka"/>
          </w:pPr>
          <w:r>
            <w:t xml:space="preserve">Str. </w:t>
          </w:r>
          <w:r>
            <w:fldChar w:fldCharType="begin"/>
          </w:r>
          <w:r>
            <w:instrText xml:space="preserve"> Page \# 0# </w:instrText>
          </w:r>
          <w:r>
            <w:fldChar w:fldCharType="separate"/>
          </w:r>
          <w:r w:rsidR="000368B2">
            <w:rPr>
              <w:noProof/>
            </w:rPr>
            <w:t>13</w:t>
          </w:r>
          <w:r>
            <w:fldChar w:fldCharType="end"/>
          </w:r>
        </w:p>
      </w:tc>
      <w:tc>
        <w:tcPr>
          <w:tcW w:w="288" w:type="dxa"/>
          <w:vAlign w:val="bottom"/>
        </w:tcPr>
        <w:p w:rsidR="006A3B2A" w:rsidRDefault="006A3B2A"/>
      </w:tc>
      <w:tc>
        <w:tcPr>
          <w:tcW w:w="8424" w:type="dxa"/>
          <w:vAlign w:val="bottom"/>
        </w:tcPr>
        <w:p w:rsidR="006A3B2A" w:rsidRDefault="00AA6481" w:rsidP="00E750EF">
          <w:pPr>
            <w:pStyle w:val="Informannadpis"/>
          </w:pPr>
          <w:r w:rsidRPr="0040697D">
            <w:rPr>
              <w:color w:val="006600"/>
            </w:rPr>
            <w:fldChar w:fldCharType="begin"/>
          </w:r>
          <w:r w:rsidRPr="0040697D">
            <w:rPr>
              <w:color w:val="006600"/>
            </w:rPr>
            <w:instrText xml:space="preserve"> If </w:instrText>
          </w:r>
          <w:r w:rsidR="004443D4" w:rsidRPr="0040697D">
            <w:rPr>
              <w:color w:val="006600"/>
            </w:rPr>
            <w:fldChar w:fldCharType="begin"/>
          </w:r>
          <w:r w:rsidR="004443D4" w:rsidRPr="0040697D">
            <w:rPr>
              <w:color w:val="006600"/>
            </w:rPr>
            <w:instrText xml:space="preserve"> STYLEREF  "Nadpis 11" </w:instrText>
          </w:r>
          <w:r w:rsidR="004443D4" w:rsidRPr="0040697D">
            <w:rPr>
              <w:color w:val="006600"/>
            </w:rPr>
            <w:fldChar w:fldCharType="separate"/>
          </w:r>
          <w:r w:rsidR="000368B2">
            <w:rPr>
              <w:noProof/>
              <w:color w:val="006600"/>
            </w:rPr>
            <w:instrText>Závěr</w:instrText>
          </w:r>
          <w:r w:rsidR="004443D4" w:rsidRPr="0040697D">
            <w:rPr>
              <w:noProof/>
              <w:color w:val="006600"/>
            </w:rPr>
            <w:fldChar w:fldCharType="end"/>
          </w:r>
          <w:r w:rsidRPr="0040697D">
            <w:rPr>
              <w:color w:val="006600"/>
            </w:rPr>
            <w:instrText>&lt;&gt; “Error*” “</w:instrText>
          </w:r>
          <w:r w:rsidR="004443D4" w:rsidRPr="0040697D">
            <w:rPr>
              <w:color w:val="006600"/>
            </w:rPr>
            <w:fldChar w:fldCharType="begin"/>
          </w:r>
          <w:r w:rsidR="004443D4" w:rsidRPr="0040697D">
            <w:rPr>
              <w:color w:val="006600"/>
            </w:rPr>
            <w:instrText xml:space="preserve"> STYLEREF  "Nadpis 11" </w:instrText>
          </w:r>
          <w:r w:rsidR="004443D4" w:rsidRPr="0040697D">
            <w:rPr>
              <w:color w:val="006600"/>
            </w:rPr>
            <w:fldChar w:fldCharType="separate"/>
          </w:r>
          <w:r w:rsidR="000368B2">
            <w:rPr>
              <w:noProof/>
              <w:color w:val="006600"/>
            </w:rPr>
            <w:instrText>Závěr</w:instrText>
          </w:r>
          <w:r w:rsidR="004443D4" w:rsidRPr="0040697D">
            <w:rPr>
              <w:noProof/>
              <w:color w:val="006600"/>
            </w:rPr>
            <w:fldChar w:fldCharType="end"/>
          </w:r>
          <w:r w:rsidRPr="0040697D">
            <w:rPr>
              <w:color w:val="006600"/>
            </w:rPr>
            <w:instrText xml:space="preserve"> </w:instrText>
          </w:r>
          <w:r w:rsidRPr="0040697D">
            <w:rPr>
              <w:color w:val="006600"/>
            </w:rPr>
            <w:fldChar w:fldCharType="separate"/>
          </w:r>
          <w:r w:rsidR="000368B2">
            <w:rPr>
              <w:noProof/>
              <w:color w:val="006600"/>
            </w:rPr>
            <w:t>Závěr</w:t>
          </w:r>
          <w:r w:rsidR="000368B2" w:rsidRPr="0040697D">
            <w:rPr>
              <w:noProof/>
              <w:color w:val="006600"/>
            </w:rPr>
            <w:t xml:space="preserve"> </w:t>
          </w:r>
          <w:r w:rsidRPr="0040697D">
            <w:rPr>
              <w:color w:val="006600"/>
            </w:rPr>
            <w:fldChar w:fldCharType="end"/>
          </w:r>
        </w:p>
      </w:tc>
    </w:tr>
    <w:tr w:rsidR="006A3B2A">
      <w:trPr>
        <w:trHeight w:hRule="exact" w:val="86"/>
        <w:jc w:val="right"/>
      </w:trPr>
      <w:tc>
        <w:tcPr>
          <w:tcW w:w="2088" w:type="dxa"/>
          <w:shd w:val="clear" w:color="auto" w:fill="000000" w:themeFill="text1"/>
        </w:tcPr>
        <w:p w:rsidR="006A3B2A" w:rsidRDefault="006A3B2A">
          <w:pPr>
            <w:rPr>
              <w:sz w:val="10"/>
            </w:rPr>
          </w:pPr>
        </w:p>
      </w:tc>
      <w:tc>
        <w:tcPr>
          <w:tcW w:w="288" w:type="dxa"/>
        </w:tcPr>
        <w:p w:rsidR="006A3B2A" w:rsidRDefault="006A3B2A">
          <w:pPr>
            <w:rPr>
              <w:sz w:val="10"/>
            </w:rPr>
          </w:pPr>
        </w:p>
      </w:tc>
      <w:tc>
        <w:tcPr>
          <w:tcW w:w="8424" w:type="dxa"/>
          <w:shd w:val="clear" w:color="auto" w:fill="000000" w:themeFill="text1"/>
        </w:tcPr>
        <w:p w:rsidR="006A3B2A" w:rsidRDefault="006A3B2A">
          <w:pPr>
            <w:rPr>
              <w:sz w:val="10"/>
            </w:rPr>
          </w:pPr>
        </w:p>
      </w:tc>
    </w:tr>
  </w:tbl>
  <w:p w:rsidR="006A3B2A" w:rsidRDefault="006A3B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0E6EB78"/>
    <w:lvl w:ilvl="0">
      <w:start w:val="1"/>
      <w:numFmt w:val="bullet"/>
      <w:pStyle w:val="Seznamsodrkami"/>
      <w:lvlText w:val="•"/>
      <w:lvlJc w:val="left"/>
      <w:pPr>
        <w:ind w:left="576" w:hanging="288"/>
      </w:pPr>
      <w:rPr>
        <w:rFonts w:ascii="Cambria" w:hAnsi="Cambria" w:hint="default"/>
        <w:color w:val="EF4623" w:themeColor="accent1"/>
      </w:rPr>
    </w:lvl>
  </w:abstractNum>
  <w:abstractNum w:abstractNumId="1" w15:restartNumberingAfterBreak="0">
    <w:nsid w:val="0D802B80"/>
    <w:multiLevelType w:val="hybridMultilevel"/>
    <w:tmpl w:val="1D1E7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67F6A45"/>
    <w:multiLevelType w:val="multilevel"/>
    <w:tmpl w:val="0436C7FE"/>
    <w:lvl w:ilvl="0">
      <w:start w:val="1"/>
      <w:numFmt w:val="decimal"/>
      <w:pStyle w:val="slovanseznam1"/>
      <w:lvlText w:val="%1."/>
      <w:lvlJc w:val="left"/>
      <w:pPr>
        <w:ind w:left="360" w:hanging="360"/>
      </w:pPr>
      <w:rPr>
        <w:rFonts w:hint="default"/>
        <w:color w:val="EF4623" w:themeColor="accent1"/>
      </w:rPr>
    </w:lvl>
    <w:lvl w:ilvl="1">
      <w:start w:val="1"/>
      <w:numFmt w:val="decimal"/>
      <w:pStyle w:val="slovanseznam21"/>
      <w:suff w:val="space"/>
      <w:lvlText w:val="%1.%2"/>
      <w:lvlJc w:val="left"/>
      <w:pPr>
        <w:ind w:left="936" w:hanging="576"/>
      </w:pPr>
      <w:rPr>
        <w:rFonts w:hint="default"/>
        <w:color w:val="EF4623" w:themeColor="accent1"/>
      </w:rPr>
    </w:lvl>
    <w:lvl w:ilvl="2">
      <w:start w:val="1"/>
      <w:numFmt w:val="lowerLetter"/>
      <w:pStyle w:val="slovanseznam31"/>
      <w:lvlText w:val="%3."/>
      <w:lvlJc w:val="left"/>
      <w:pPr>
        <w:ind w:left="720" w:hanging="360"/>
      </w:pPr>
      <w:rPr>
        <w:rFonts w:hint="default"/>
        <w:color w:val="EF4623" w:themeColor="accent1"/>
      </w:rPr>
    </w:lvl>
    <w:lvl w:ilvl="3">
      <w:start w:val="1"/>
      <w:numFmt w:val="lowerRoman"/>
      <w:pStyle w:val="slovanseznam41"/>
      <w:lvlText w:val="%4."/>
      <w:lvlJc w:val="left"/>
      <w:pPr>
        <w:ind w:left="1080" w:hanging="360"/>
      </w:pPr>
      <w:rPr>
        <w:rFonts w:hint="default"/>
        <w:color w:val="EF4623" w:themeColor="accent1"/>
      </w:rPr>
    </w:lvl>
    <w:lvl w:ilvl="4">
      <w:start w:val="1"/>
      <w:numFmt w:val="lowerLetter"/>
      <w:pStyle w:val="slovanseznam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lvlOverride w:ilvl="0">
      <w:startOverride w:val="1"/>
    </w:lvlOverride>
  </w:num>
  <w:num w:numId="3">
    <w:abstractNumId w:val="2"/>
  </w:num>
  <w:num w:numId="4">
    <w:abstractNumId w:val="0"/>
    <w:lvlOverride w:ilvl="0">
      <w:startOverride w:val="1"/>
    </w:lvlOverride>
  </w:num>
  <w:num w:numId="5">
    <w:abstractNumId w:val="0"/>
    <w:lvlOverride w:ilvl="0">
      <w:startOverride w:val="1"/>
    </w:lvlOverride>
  </w:num>
  <w:num w:numId="6">
    <w:abstractNumId w:val="1"/>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AC4"/>
    <w:rsid w:val="0000510A"/>
    <w:rsid w:val="00014E49"/>
    <w:rsid w:val="0002215A"/>
    <w:rsid w:val="000245D8"/>
    <w:rsid w:val="00026A81"/>
    <w:rsid w:val="000368B2"/>
    <w:rsid w:val="000463F8"/>
    <w:rsid w:val="000478C4"/>
    <w:rsid w:val="00047E38"/>
    <w:rsid w:val="0005324C"/>
    <w:rsid w:val="0005722A"/>
    <w:rsid w:val="00062A03"/>
    <w:rsid w:val="00064025"/>
    <w:rsid w:val="00066545"/>
    <w:rsid w:val="00070B3F"/>
    <w:rsid w:val="000717D4"/>
    <w:rsid w:val="00074A7A"/>
    <w:rsid w:val="00076F6F"/>
    <w:rsid w:val="000876F5"/>
    <w:rsid w:val="00093B14"/>
    <w:rsid w:val="000A1A32"/>
    <w:rsid w:val="000A5528"/>
    <w:rsid w:val="000C13AB"/>
    <w:rsid w:val="000C1454"/>
    <w:rsid w:val="000D15F6"/>
    <w:rsid w:val="000D5DE5"/>
    <w:rsid w:val="000E2188"/>
    <w:rsid w:val="000E3822"/>
    <w:rsid w:val="000F1767"/>
    <w:rsid w:val="000F4A08"/>
    <w:rsid w:val="000F7121"/>
    <w:rsid w:val="001023DD"/>
    <w:rsid w:val="001035D0"/>
    <w:rsid w:val="00103A1A"/>
    <w:rsid w:val="001077B7"/>
    <w:rsid w:val="0011358E"/>
    <w:rsid w:val="0011430C"/>
    <w:rsid w:val="00115431"/>
    <w:rsid w:val="0011652B"/>
    <w:rsid w:val="00116D25"/>
    <w:rsid w:val="001256BC"/>
    <w:rsid w:val="00130237"/>
    <w:rsid w:val="0013109C"/>
    <w:rsid w:val="001317FF"/>
    <w:rsid w:val="00137733"/>
    <w:rsid w:val="001422BB"/>
    <w:rsid w:val="0014586A"/>
    <w:rsid w:val="0014711D"/>
    <w:rsid w:val="00154E23"/>
    <w:rsid w:val="00156811"/>
    <w:rsid w:val="001616B1"/>
    <w:rsid w:val="00176BE2"/>
    <w:rsid w:val="00185AC3"/>
    <w:rsid w:val="00191968"/>
    <w:rsid w:val="00193A60"/>
    <w:rsid w:val="001A38FE"/>
    <w:rsid w:val="001B3665"/>
    <w:rsid w:val="001B45D9"/>
    <w:rsid w:val="001C3FAD"/>
    <w:rsid w:val="001C4317"/>
    <w:rsid w:val="001E2279"/>
    <w:rsid w:val="001F687B"/>
    <w:rsid w:val="0020026E"/>
    <w:rsid w:val="002023D2"/>
    <w:rsid w:val="00203D1D"/>
    <w:rsid w:val="002046DC"/>
    <w:rsid w:val="00210E12"/>
    <w:rsid w:val="00213866"/>
    <w:rsid w:val="0021487E"/>
    <w:rsid w:val="002177E8"/>
    <w:rsid w:val="00217D8F"/>
    <w:rsid w:val="00241D1A"/>
    <w:rsid w:val="00245EE1"/>
    <w:rsid w:val="002657F9"/>
    <w:rsid w:val="0027625B"/>
    <w:rsid w:val="00277CD5"/>
    <w:rsid w:val="00284885"/>
    <w:rsid w:val="00296821"/>
    <w:rsid w:val="002A4BF4"/>
    <w:rsid w:val="002A68A3"/>
    <w:rsid w:val="002B0888"/>
    <w:rsid w:val="002B665D"/>
    <w:rsid w:val="002C06A3"/>
    <w:rsid w:val="002D0C06"/>
    <w:rsid w:val="002D266F"/>
    <w:rsid w:val="002D314E"/>
    <w:rsid w:val="002D609D"/>
    <w:rsid w:val="002E04A4"/>
    <w:rsid w:val="002E2058"/>
    <w:rsid w:val="002E2D1A"/>
    <w:rsid w:val="002E7FD1"/>
    <w:rsid w:val="002F0C2F"/>
    <w:rsid w:val="002F2AF2"/>
    <w:rsid w:val="00307828"/>
    <w:rsid w:val="00314BA6"/>
    <w:rsid w:val="00323AC1"/>
    <w:rsid w:val="00324B9A"/>
    <w:rsid w:val="00334A2B"/>
    <w:rsid w:val="003365A9"/>
    <w:rsid w:val="00372AC0"/>
    <w:rsid w:val="00377ACC"/>
    <w:rsid w:val="00384BFA"/>
    <w:rsid w:val="00393F43"/>
    <w:rsid w:val="003A1867"/>
    <w:rsid w:val="003B1AF5"/>
    <w:rsid w:val="003B47FD"/>
    <w:rsid w:val="003C2B66"/>
    <w:rsid w:val="003C7F21"/>
    <w:rsid w:val="003C7F98"/>
    <w:rsid w:val="003D33B4"/>
    <w:rsid w:val="003E0146"/>
    <w:rsid w:val="003F0292"/>
    <w:rsid w:val="003F523F"/>
    <w:rsid w:val="003F5812"/>
    <w:rsid w:val="00400D4F"/>
    <w:rsid w:val="0040697D"/>
    <w:rsid w:val="00423968"/>
    <w:rsid w:val="0043117D"/>
    <w:rsid w:val="00434067"/>
    <w:rsid w:val="00434D8D"/>
    <w:rsid w:val="00444043"/>
    <w:rsid w:val="004440C4"/>
    <w:rsid w:val="004443D4"/>
    <w:rsid w:val="00445600"/>
    <w:rsid w:val="00456960"/>
    <w:rsid w:val="004707C9"/>
    <w:rsid w:val="00473112"/>
    <w:rsid w:val="004775E4"/>
    <w:rsid w:val="00494B6A"/>
    <w:rsid w:val="004B1292"/>
    <w:rsid w:val="004C0128"/>
    <w:rsid w:val="004C5D38"/>
    <w:rsid w:val="004D03DD"/>
    <w:rsid w:val="004D3386"/>
    <w:rsid w:val="004D4A31"/>
    <w:rsid w:val="004E7366"/>
    <w:rsid w:val="004F3250"/>
    <w:rsid w:val="005059B3"/>
    <w:rsid w:val="005071B1"/>
    <w:rsid w:val="0050736A"/>
    <w:rsid w:val="00507C69"/>
    <w:rsid w:val="00510453"/>
    <w:rsid w:val="00515A30"/>
    <w:rsid w:val="00517E55"/>
    <w:rsid w:val="00531BB0"/>
    <w:rsid w:val="0054125A"/>
    <w:rsid w:val="00553F56"/>
    <w:rsid w:val="00556715"/>
    <w:rsid w:val="00562491"/>
    <w:rsid w:val="00562E3A"/>
    <w:rsid w:val="00565550"/>
    <w:rsid w:val="00566446"/>
    <w:rsid w:val="005705CF"/>
    <w:rsid w:val="005831A6"/>
    <w:rsid w:val="00587CD4"/>
    <w:rsid w:val="00593725"/>
    <w:rsid w:val="0059388C"/>
    <w:rsid w:val="005A0496"/>
    <w:rsid w:val="005A77A6"/>
    <w:rsid w:val="005B2278"/>
    <w:rsid w:val="005B3462"/>
    <w:rsid w:val="005C480F"/>
    <w:rsid w:val="005D73D5"/>
    <w:rsid w:val="005F151B"/>
    <w:rsid w:val="005F7D04"/>
    <w:rsid w:val="00605C2C"/>
    <w:rsid w:val="00606F30"/>
    <w:rsid w:val="0061328A"/>
    <w:rsid w:val="0061544C"/>
    <w:rsid w:val="00615C52"/>
    <w:rsid w:val="006303EB"/>
    <w:rsid w:val="00632AD4"/>
    <w:rsid w:val="00635A4B"/>
    <w:rsid w:val="00646CA6"/>
    <w:rsid w:val="00647405"/>
    <w:rsid w:val="00650DBA"/>
    <w:rsid w:val="0065448E"/>
    <w:rsid w:val="006556BA"/>
    <w:rsid w:val="006571B6"/>
    <w:rsid w:val="00675199"/>
    <w:rsid w:val="0067770D"/>
    <w:rsid w:val="00686620"/>
    <w:rsid w:val="006919BE"/>
    <w:rsid w:val="00697764"/>
    <w:rsid w:val="00697B11"/>
    <w:rsid w:val="006A3B2A"/>
    <w:rsid w:val="006B19F4"/>
    <w:rsid w:val="006B3A3B"/>
    <w:rsid w:val="006B47FF"/>
    <w:rsid w:val="006B4EE9"/>
    <w:rsid w:val="006B5792"/>
    <w:rsid w:val="006D7E7A"/>
    <w:rsid w:val="006D7FCB"/>
    <w:rsid w:val="006E000A"/>
    <w:rsid w:val="006E2357"/>
    <w:rsid w:val="006E2D5C"/>
    <w:rsid w:val="006E41E8"/>
    <w:rsid w:val="006E60CD"/>
    <w:rsid w:val="006F595E"/>
    <w:rsid w:val="006F614C"/>
    <w:rsid w:val="0070363A"/>
    <w:rsid w:val="0070413A"/>
    <w:rsid w:val="00707C0A"/>
    <w:rsid w:val="00717AEF"/>
    <w:rsid w:val="007302C9"/>
    <w:rsid w:val="00732A5B"/>
    <w:rsid w:val="00741929"/>
    <w:rsid w:val="007423ED"/>
    <w:rsid w:val="00747024"/>
    <w:rsid w:val="00750AD9"/>
    <w:rsid w:val="00753610"/>
    <w:rsid w:val="00754FCA"/>
    <w:rsid w:val="007642EA"/>
    <w:rsid w:val="007714A8"/>
    <w:rsid w:val="007716E2"/>
    <w:rsid w:val="007724BF"/>
    <w:rsid w:val="00772FB0"/>
    <w:rsid w:val="00774733"/>
    <w:rsid w:val="00775A4F"/>
    <w:rsid w:val="00784F21"/>
    <w:rsid w:val="007864EC"/>
    <w:rsid w:val="00786734"/>
    <w:rsid w:val="007A10D9"/>
    <w:rsid w:val="007A25CD"/>
    <w:rsid w:val="007A2A9A"/>
    <w:rsid w:val="007A471D"/>
    <w:rsid w:val="007B42E6"/>
    <w:rsid w:val="007C2318"/>
    <w:rsid w:val="007C5D57"/>
    <w:rsid w:val="007D60EB"/>
    <w:rsid w:val="007D6B06"/>
    <w:rsid w:val="007E0D47"/>
    <w:rsid w:val="007E0E7B"/>
    <w:rsid w:val="007E12CA"/>
    <w:rsid w:val="007E164C"/>
    <w:rsid w:val="007E56C1"/>
    <w:rsid w:val="007E5A76"/>
    <w:rsid w:val="007F20D3"/>
    <w:rsid w:val="008106BD"/>
    <w:rsid w:val="00824562"/>
    <w:rsid w:val="00825B28"/>
    <w:rsid w:val="00826C60"/>
    <w:rsid w:val="00827090"/>
    <w:rsid w:val="00843593"/>
    <w:rsid w:val="0084368A"/>
    <w:rsid w:val="00843BAF"/>
    <w:rsid w:val="00843D9B"/>
    <w:rsid w:val="008632DF"/>
    <w:rsid w:val="0087427F"/>
    <w:rsid w:val="00877A2B"/>
    <w:rsid w:val="008820DC"/>
    <w:rsid w:val="00882A10"/>
    <w:rsid w:val="00884F92"/>
    <w:rsid w:val="008948AB"/>
    <w:rsid w:val="008A5122"/>
    <w:rsid w:val="008B0F00"/>
    <w:rsid w:val="008B6824"/>
    <w:rsid w:val="008C1DF2"/>
    <w:rsid w:val="008C2880"/>
    <w:rsid w:val="008C4307"/>
    <w:rsid w:val="008D76F0"/>
    <w:rsid w:val="008E3762"/>
    <w:rsid w:val="008F2595"/>
    <w:rsid w:val="00905ABC"/>
    <w:rsid w:val="00907910"/>
    <w:rsid w:val="00910686"/>
    <w:rsid w:val="0091391F"/>
    <w:rsid w:val="00916374"/>
    <w:rsid w:val="00920909"/>
    <w:rsid w:val="00941F1C"/>
    <w:rsid w:val="00942653"/>
    <w:rsid w:val="00953493"/>
    <w:rsid w:val="00961A56"/>
    <w:rsid w:val="00975724"/>
    <w:rsid w:val="00981589"/>
    <w:rsid w:val="00983E47"/>
    <w:rsid w:val="00987CAD"/>
    <w:rsid w:val="0099687D"/>
    <w:rsid w:val="009A5007"/>
    <w:rsid w:val="009A7C47"/>
    <w:rsid w:val="009B0D04"/>
    <w:rsid w:val="009B0F90"/>
    <w:rsid w:val="009B41C0"/>
    <w:rsid w:val="009B5CEB"/>
    <w:rsid w:val="009C0625"/>
    <w:rsid w:val="009C1EBF"/>
    <w:rsid w:val="009E366A"/>
    <w:rsid w:val="009F69ED"/>
    <w:rsid w:val="00A03395"/>
    <w:rsid w:val="00A07EDD"/>
    <w:rsid w:val="00A1248C"/>
    <w:rsid w:val="00A208A8"/>
    <w:rsid w:val="00A2557B"/>
    <w:rsid w:val="00A272E2"/>
    <w:rsid w:val="00A35192"/>
    <w:rsid w:val="00A37A76"/>
    <w:rsid w:val="00A638FD"/>
    <w:rsid w:val="00A65F66"/>
    <w:rsid w:val="00A714BD"/>
    <w:rsid w:val="00A841AB"/>
    <w:rsid w:val="00A93868"/>
    <w:rsid w:val="00A9405D"/>
    <w:rsid w:val="00AA4C74"/>
    <w:rsid w:val="00AA605F"/>
    <w:rsid w:val="00AA6481"/>
    <w:rsid w:val="00AA7657"/>
    <w:rsid w:val="00AC34FC"/>
    <w:rsid w:val="00AD1494"/>
    <w:rsid w:val="00AD727E"/>
    <w:rsid w:val="00AE61FE"/>
    <w:rsid w:val="00AE7066"/>
    <w:rsid w:val="00AF0A49"/>
    <w:rsid w:val="00B02307"/>
    <w:rsid w:val="00B058C4"/>
    <w:rsid w:val="00B22858"/>
    <w:rsid w:val="00B32CDA"/>
    <w:rsid w:val="00B35CEE"/>
    <w:rsid w:val="00B41BBC"/>
    <w:rsid w:val="00B440AE"/>
    <w:rsid w:val="00B4525C"/>
    <w:rsid w:val="00B53DD9"/>
    <w:rsid w:val="00B62B42"/>
    <w:rsid w:val="00B6605C"/>
    <w:rsid w:val="00B67905"/>
    <w:rsid w:val="00B8099F"/>
    <w:rsid w:val="00B87C14"/>
    <w:rsid w:val="00B91389"/>
    <w:rsid w:val="00B94645"/>
    <w:rsid w:val="00B9640D"/>
    <w:rsid w:val="00BA17B2"/>
    <w:rsid w:val="00BA7DFB"/>
    <w:rsid w:val="00BB24FC"/>
    <w:rsid w:val="00BB390D"/>
    <w:rsid w:val="00BB53FF"/>
    <w:rsid w:val="00BD2E42"/>
    <w:rsid w:val="00BD3384"/>
    <w:rsid w:val="00BE5DF6"/>
    <w:rsid w:val="00BF433A"/>
    <w:rsid w:val="00BF751B"/>
    <w:rsid w:val="00C14AA6"/>
    <w:rsid w:val="00C175C2"/>
    <w:rsid w:val="00C228C9"/>
    <w:rsid w:val="00C230B1"/>
    <w:rsid w:val="00C23C23"/>
    <w:rsid w:val="00C26C73"/>
    <w:rsid w:val="00C36D32"/>
    <w:rsid w:val="00C472F1"/>
    <w:rsid w:val="00C55152"/>
    <w:rsid w:val="00C6611D"/>
    <w:rsid w:val="00C66309"/>
    <w:rsid w:val="00C66F36"/>
    <w:rsid w:val="00C77C4A"/>
    <w:rsid w:val="00C8752E"/>
    <w:rsid w:val="00C901F1"/>
    <w:rsid w:val="00CA4465"/>
    <w:rsid w:val="00CA5D52"/>
    <w:rsid w:val="00CB1F0E"/>
    <w:rsid w:val="00CB23A1"/>
    <w:rsid w:val="00CB71BE"/>
    <w:rsid w:val="00CC165A"/>
    <w:rsid w:val="00CC31E8"/>
    <w:rsid w:val="00CC3D6E"/>
    <w:rsid w:val="00CD7472"/>
    <w:rsid w:val="00CD7AEE"/>
    <w:rsid w:val="00CE3105"/>
    <w:rsid w:val="00CE742A"/>
    <w:rsid w:val="00D01C54"/>
    <w:rsid w:val="00D05983"/>
    <w:rsid w:val="00D2726E"/>
    <w:rsid w:val="00D41D07"/>
    <w:rsid w:val="00D466CD"/>
    <w:rsid w:val="00D51824"/>
    <w:rsid w:val="00D53A4D"/>
    <w:rsid w:val="00D54B01"/>
    <w:rsid w:val="00D73D7E"/>
    <w:rsid w:val="00D81351"/>
    <w:rsid w:val="00D85AE6"/>
    <w:rsid w:val="00D878D3"/>
    <w:rsid w:val="00D8799F"/>
    <w:rsid w:val="00D90561"/>
    <w:rsid w:val="00DA5363"/>
    <w:rsid w:val="00DA7253"/>
    <w:rsid w:val="00DB13B6"/>
    <w:rsid w:val="00DB1D53"/>
    <w:rsid w:val="00DB235D"/>
    <w:rsid w:val="00DB2626"/>
    <w:rsid w:val="00DC22CD"/>
    <w:rsid w:val="00DC25A9"/>
    <w:rsid w:val="00DC2FCA"/>
    <w:rsid w:val="00DD6BFA"/>
    <w:rsid w:val="00DE5274"/>
    <w:rsid w:val="00DF20B6"/>
    <w:rsid w:val="00DF5386"/>
    <w:rsid w:val="00DF5B71"/>
    <w:rsid w:val="00DF76C6"/>
    <w:rsid w:val="00E03554"/>
    <w:rsid w:val="00E25AD1"/>
    <w:rsid w:val="00E31DFA"/>
    <w:rsid w:val="00E36AC4"/>
    <w:rsid w:val="00E37A90"/>
    <w:rsid w:val="00E444BE"/>
    <w:rsid w:val="00E46681"/>
    <w:rsid w:val="00E563CA"/>
    <w:rsid w:val="00E62EB0"/>
    <w:rsid w:val="00E675D8"/>
    <w:rsid w:val="00E70593"/>
    <w:rsid w:val="00E708D4"/>
    <w:rsid w:val="00E750EF"/>
    <w:rsid w:val="00E7565E"/>
    <w:rsid w:val="00E76250"/>
    <w:rsid w:val="00E764BB"/>
    <w:rsid w:val="00E92CEA"/>
    <w:rsid w:val="00EA3624"/>
    <w:rsid w:val="00EA51C0"/>
    <w:rsid w:val="00EB1937"/>
    <w:rsid w:val="00EB2809"/>
    <w:rsid w:val="00EC2B2F"/>
    <w:rsid w:val="00EE3F51"/>
    <w:rsid w:val="00EF4B4C"/>
    <w:rsid w:val="00EF77A4"/>
    <w:rsid w:val="00F032FD"/>
    <w:rsid w:val="00F06A0F"/>
    <w:rsid w:val="00F0736B"/>
    <w:rsid w:val="00F13C11"/>
    <w:rsid w:val="00F172EA"/>
    <w:rsid w:val="00F23CB9"/>
    <w:rsid w:val="00F241E8"/>
    <w:rsid w:val="00F2553B"/>
    <w:rsid w:val="00F37D5E"/>
    <w:rsid w:val="00F37EFC"/>
    <w:rsid w:val="00F43B87"/>
    <w:rsid w:val="00F46AF4"/>
    <w:rsid w:val="00F472B3"/>
    <w:rsid w:val="00F531FE"/>
    <w:rsid w:val="00F558D7"/>
    <w:rsid w:val="00F66AEB"/>
    <w:rsid w:val="00F76AAD"/>
    <w:rsid w:val="00F7712E"/>
    <w:rsid w:val="00F83DEE"/>
    <w:rsid w:val="00F85479"/>
    <w:rsid w:val="00F96319"/>
    <w:rsid w:val="00FA1431"/>
    <w:rsid w:val="00FB4A2A"/>
    <w:rsid w:val="00FB54FA"/>
    <w:rsid w:val="00FC1658"/>
    <w:rsid w:val="00FC1B40"/>
    <w:rsid w:val="00FC4617"/>
    <w:rsid w:val="00FE0A94"/>
    <w:rsid w:val="00FF0E19"/>
    <w:rsid w:val="00FF1964"/>
    <w:rsid w:val="00FF2509"/>
    <w:rsid w:val="00FF56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7316A79-0E38-427E-B694-BC0EB94D9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cs-CZ" w:eastAsia="cs-CZ"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657F9"/>
  </w:style>
  <w:style w:type="paragraph" w:styleId="Nadpis1">
    <w:name w:val="heading 1"/>
    <w:basedOn w:val="Normln"/>
    <w:next w:val="Normln"/>
    <w:link w:val="Nadpis1Char"/>
    <w:uiPriority w:val="9"/>
    <w:qFormat/>
    <w:rsid w:val="00562E3A"/>
    <w:pPr>
      <w:keepNext/>
      <w:keepLines/>
      <w:spacing w:before="240" w:after="0"/>
      <w:outlineLvl w:val="0"/>
    </w:pPr>
    <w:rPr>
      <w:rFonts w:asciiTheme="majorHAnsi" w:eastAsiaTheme="majorEastAsia" w:hAnsiTheme="majorHAnsi" w:cstheme="majorBidi"/>
      <w:color w:val="BF2B0E"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11">
    <w:name w:val="Nadpis 11"/>
    <w:basedOn w:val="Normln"/>
    <w:next w:val="Normln"/>
    <w:link w:val="Znaknadpisu1"/>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customStyle="1" w:styleId="Nadpis21">
    <w:name w:val="Nadpis 21"/>
    <w:basedOn w:val="Normln"/>
    <w:next w:val="Normln"/>
    <w:link w:val="Znaknadpisu2"/>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paragraph" w:customStyle="1" w:styleId="Zpat1">
    <w:name w:val="Zápatí1"/>
    <w:basedOn w:val="Normln"/>
    <w:link w:val="Znakzpat"/>
    <w:uiPriority w:val="99"/>
    <w:unhideWhenUsed/>
    <w:qFormat/>
    <w:pPr>
      <w:spacing w:after="0" w:line="240" w:lineRule="auto"/>
      <w:ind w:left="29" w:right="144"/>
    </w:pPr>
    <w:rPr>
      <w:color w:val="EF4623" w:themeColor="accent1"/>
    </w:rPr>
  </w:style>
  <w:style w:type="character" w:customStyle="1" w:styleId="Znakzpat">
    <w:name w:val="Znak zápatí"/>
    <w:basedOn w:val="Standardnpsmoodstavce"/>
    <w:link w:val="Zpat1"/>
    <w:uiPriority w:val="99"/>
    <w:rPr>
      <w:color w:val="EF4623" w:themeColor="accent1"/>
    </w:rPr>
  </w:style>
  <w:style w:type="paragraph" w:customStyle="1" w:styleId="Podtitul1">
    <w:name w:val="Podtitul1"/>
    <w:basedOn w:val="Normln"/>
    <w:next w:val="Normln"/>
    <w:link w:val="Znakpodtitulu"/>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fika">
    <w:name w:val="Grafika"/>
    <w:basedOn w:val="Normln"/>
    <w:uiPriority w:val="99"/>
    <w:pPr>
      <w:spacing w:after="80" w:line="240" w:lineRule="auto"/>
      <w:jc w:val="center"/>
    </w:pPr>
  </w:style>
  <w:style w:type="paragraph" w:customStyle="1" w:styleId="Zhlav1">
    <w:name w:val="Záhlaví1"/>
    <w:basedOn w:val="Normln"/>
    <w:link w:val="Znakzhlav"/>
    <w:uiPriority w:val="99"/>
    <w:qFormat/>
    <w:pPr>
      <w:spacing w:after="380" w:line="240" w:lineRule="auto"/>
    </w:pPr>
  </w:style>
  <w:style w:type="character" w:customStyle="1" w:styleId="Znakzhlav">
    <w:name w:val="Znak záhlaví"/>
    <w:basedOn w:val="Standardnpsmoodstavce"/>
    <w:link w:val="Zhlav1"/>
    <w:uiPriority w:val="99"/>
    <w:rPr>
      <w:color w:val="404040" w:themeColor="text1" w:themeTint="BF"/>
      <w:sz w:val="20"/>
    </w:rPr>
  </w:style>
  <w:style w:type="table" w:customStyle="1" w:styleId="Mkatabulky1">
    <w:name w:val="Mřížka tabulky1"/>
    <w:basedOn w:val="Normlntabulka"/>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rmannadpis">
    <w:name w:val="Informační nadpis"/>
    <w:basedOn w:val="Normln"/>
    <w:uiPriority w:val="2"/>
    <w:qFormat/>
    <w:pPr>
      <w:spacing w:after="60" w:line="240" w:lineRule="auto"/>
      <w:ind w:left="29" w:right="29"/>
      <w:jc w:val="right"/>
    </w:pPr>
    <w:rPr>
      <w:b/>
      <w:bCs/>
      <w:color w:val="EF4623" w:themeColor="accent1"/>
      <w:sz w:val="36"/>
    </w:rPr>
  </w:style>
  <w:style w:type="paragraph" w:customStyle="1" w:styleId="Strnka">
    <w:name w:val="Stránka"/>
    <w:basedOn w:val="Normln"/>
    <w:next w:val="Normln"/>
    <w:uiPriority w:val="99"/>
    <w:unhideWhenUsed/>
    <w:qFormat/>
    <w:pPr>
      <w:spacing w:after="40" w:line="240" w:lineRule="auto"/>
    </w:pPr>
    <w:rPr>
      <w:color w:val="000000" w:themeColor="text1"/>
      <w:sz w:val="36"/>
    </w:rPr>
  </w:style>
  <w:style w:type="paragraph" w:customStyle="1" w:styleId="Titul">
    <w:name w:val="Titul"/>
    <w:basedOn w:val="Normln"/>
    <w:next w:val="Normln"/>
    <w:link w:val="Znaktitulu"/>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Znaktitulu">
    <w:name w:val="Znak titulu"/>
    <w:basedOn w:val="Standardnpsmoodstavce"/>
    <w:link w:val="Titul"/>
    <w:uiPriority w:val="2"/>
    <w:rPr>
      <w:rFonts w:asciiTheme="majorHAnsi" w:eastAsiaTheme="majorEastAsia" w:hAnsiTheme="majorHAnsi" w:cstheme="majorBidi"/>
      <w:b/>
      <w:bCs/>
      <w:color w:val="EF4623" w:themeColor="accent1"/>
      <w:sz w:val="200"/>
    </w:rPr>
  </w:style>
  <w:style w:type="character" w:customStyle="1" w:styleId="Zstupntext1">
    <w:name w:val="Zástupný text1"/>
    <w:basedOn w:val="Standardnpsmoodstavce"/>
    <w:uiPriority w:val="99"/>
    <w:semiHidden/>
    <w:rPr>
      <w:color w:val="808080"/>
    </w:rPr>
  </w:style>
  <w:style w:type="paragraph" w:customStyle="1" w:styleId="Textbubliny1">
    <w:name w:val="Text bubliny1"/>
    <w:basedOn w:val="Normln"/>
    <w:link w:val="Znaktextububliny"/>
    <w:uiPriority w:val="99"/>
    <w:semiHidden/>
    <w:unhideWhenUsed/>
    <w:pPr>
      <w:spacing w:after="0" w:line="240" w:lineRule="auto"/>
    </w:pPr>
    <w:rPr>
      <w:rFonts w:ascii="Tahoma" w:hAnsi="Tahoma" w:cs="Tahoma"/>
      <w:sz w:val="16"/>
    </w:rPr>
  </w:style>
  <w:style w:type="character" w:customStyle="1" w:styleId="Znaktextububliny">
    <w:name w:val="Znak textu bubliny"/>
    <w:basedOn w:val="Standardnpsmoodstavce"/>
    <w:link w:val="Textbubliny1"/>
    <w:uiPriority w:val="99"/>
    <w:semiHidden/>
    <w:rPr>
      <w:rFonts w:ascii="Tahoma" w:hAnsi="Tahoma" w:cs="Tahoma"/>
      <w:sz w:val="16"/>
    </w:rPr>
  </w:style>
  <w:style w:type="character" w:customStyle="1" w:styleId="Siln1">
    <w:name w:val="Silné1"/>
    <w:basedOn w:val="Standardnpsmoodstavce"/>
    <w:uiPriority w:val="10"/>
    <w:qFormat/>
    <w:rPr>
      <w:b/>
      <w:bCs/>
    </w:rPr>
  </w:style>
  <w:style w:type="character" w:customStyle="1" w:styleId="Znakpodtitulu">
    <w:name w:val="Znak podtitulu"/>
    <w:basedOn w:val="Standardnpsmoodstavce"/>
    <w:link w:val="Podtitul1"/>
    <w:uiPriority w:val="3"/>
    <w:rPr>
      <w:rFonts w:asciiTheme="majorHAnsi" w:eastAsiaTheme="majorEastAsia" w:hAnsiTheme="majorHAnsi" w:cstheme="majorBidi"/>
      <w:b/>
      <w:bCs/>
      <w:caps/>
      <w:color w:val="000000" w:themeColor="text1"/>
      <w:kern w:val="20"/>
      <w:sz w:val="60"/>
    </w:rPr>
  </w:style>
  <w:style w:type="paragraph" w:customStyle="1" w:styleId="Resum">
    <w:name w:val="Resumé"/>
    <w:basedOn w:val="Normln"/>
    <w:uiPriority w:val="3"/>
    <w:qFormat/>
    <w:pPr>
      <w:spacing w:before="360" w:after="480" w:line="360" w:lineRule="auto"/>
    </w:pPr>
    <w:rPr>
      <w:i/>
      <w:iCs/>
      <w:color w:val="EF4623" w:themeColor="accent1"/>
      <w:kern w:val="20"/>
      <w:sz w:val="28"/>
    </w:rPr>
  </w:style>
  <w:style w:type="paragraph" w:customStyle="1" w:styleId="Bezmezer1">
    <w:name w:val="Bez mezer1"/>
    <w:link w:val="Znakbezmezer"/>
    <w:uiPriority w:val="1"/>
    <w:unhideWhenUsed/>
    <w:qFormat/>
    <w:pPr>
      <w:spacing w:after="0" w:line="240" w:lineRule="auto"/>
    </w:pPr>
  </w:style>
  <w:style w:type="character" w:customStyle="1" w:styleId="Hypertextovodkaz1">
    <w:name w:val="Hypertextový odkaz1"/>
    <w:basedOn w:val="Standardnpsmoodstavce"/>
    <w:uiPriority w:val="99"/>
    <w:unhideWhenUsed/>
    <w:rPr>
      <w:color w:val="5F5F5F" w:themeColor="hyperlink"/>
      <w:u w:val="single"/>
    </w:rPr>
  </w:style>
  <w:style w:type="paragraph" w:customStyle="1" w:styleId="Obsah11">
    <w:name w:val="Obsah 11"/>
    <w:basedOn w:val="Normln"/>
    <w:next w:val="Normln"/>
    <w:autoRedefine/>
    <w:uiPriority w:val="39"/>
    <w:unhideWhenUsed/>
    <w:pPr>
      <w:tabs>
        <w:tab w:val="right" w:leader="underscore" w:pos="8424"/>
      </w:tabs>
      <w:spacing w:before="40" w:after="100" w:line="288" w:lineRule="auto"/>
    </w:pPr>
    <w:rPr>
      <w:kern w:val="20"/>
    </w:rPr>
  </w:style>
  <w:style w:type="character" w:customStyle="1" w:styleId="Znaknadpisu1">
    <w:name w:val="Znak nadpisu 1"/>
    <w:basedOn w:val="Standardnpsmoodstavce"/>
    <w:link w:val="Nadpis11"/>
    <w:uiPriority w:val="1"/>
    <w:rPr>
      <w:rFonts w:asciiTheme="majorHAnsi" w:eastAsiaTheme="majorEastAsia" w:hAnsiTheme="majorHAnsi" w:cstheme="majorBidi"/>
      <w:b/>
      <w:bCs/>
      <w:color w:val="000000" w:themeColor="text1"/>
      <w:sz w:val="40"/>
    </w:rPr>
  </w:style>
  <w:style w:type="paragraph" w:customStyle="1" w:styleId="Nadpisobsahu1">
    <w:name w:val="Nadpis obsahu1"/>
    <w:basedOn w:val="Nadpis11"/>
    <w:next w:val="Normln"/>
    <w:uiPriority w:val="39"/>
    <w:unhideWhenUsed/>
    <w:qFormat/>
    <w:pPr>
      <w:pBdr>
        <w:bottom w:val="none" w:sz="0" w:space="0" w:color="auto"/>
      </w:pBdr>
      <w:spacing w:before="0" w:after="360"/>
      <w:outlineLvl w:val="9"/>
    </w:pPr>
    <w:rPr>
      <w:color w:val="EF4623" w:themeColor="accent1"/>
      <w:kern w:val="20"/>
      <w:sz w:val="44"/>
    </w:rPr>
  </w:style>
  <w:style w:type="character" w:customStyle="1" w:styleId="Znaknadpisu2">
    <w:name w:val="Znak nadpisu 2"/>
    <w:basedOn w:val="Standardnpsmoodstavce"/>
    <w:link w:val="Nadpis21"/>
    <w:uiPriority w:val="1"/>
    <w:rPr>
      <w:rFonts w:asciiTheme="majorHAnsi" w:eastAsiaTheme="majorEastAsia" w:hAnsiTheme="majorHAnsi" w:cstheme="majorBidi"/>
      <w:b/>
      <w:bCs/>
      <w:color w:val="000000" w:themeColor="text1"/>
      <w:sz w:val="28"/>
    </w:rPr>
  </w:style>
  <w:style w:type="paragraph" w:customStyle="1" w:styleId="Citt1">
    <w:name w:val="Citát1"/>
    <w:basedOn w:val="Normln"/>
    <w:next w:val="Normln"/>
    <w:link w:val="Znakcittu"/>
    <w:uiPriority w:val="1"/>
    <w:unhideWhenUsed/>
    <w:qFormat/>
    <w:pPr>
      <w:spacing w:before="240" w:after="240" w:line="288" w:lineRule="auto"/>
    </w:pPr>
    <w:rPr>
      <w:i/>
      <w:iCs/>
      <w:color w:val="EF4623" w:themeColor="accent1"/>
      <w:kern w:val="20"/>
      <w:sz w:val="24"/>
    </w:rPr>
  </w:style>
  <w:style w:type="character" w:customStyle="1" w:styleId="Znakcittu">
    <w:name w:val="Znak citátu"/>
    <w:basedOn w:val="Standardnpsmoodstavce"/>
    <w:link w:val="Citt1"/>
    <w:uiPriority w:val="1"/>
    <w:rPr>
      <w:i/>
      <w:iCs/>
      <w:color w:val="EF4623" w:themeColor="accent1"/>
      <w:kern w:val="20"/>
      <w:sz w:val="24"/>
    </w:rPr>
  </w:style>
  <w:style w:type="paragraph" w:customStyle="1" w:styleId="Podpis1">
    <w:name w:val="Podpis1"/>
    <w:basedOn w:val="Normln"/>
    <w:link w:val="Znakpodpisu"/>
    <w:uiPriority w:val="9"/>
    <w:unhideWhenUsed/>
    <w:qFormat/>
    <w:pPr>
      <w:spacing w:before="720" w:after="0" w:line="312" w:lineRule="auto"/>
      <w:contextualSpacing/>
    </w:pPr>
    <w:rPr>
      <w:color w:val="595959" w:themeColor="text1" w:themeTint="A6"/>
      <w:kern w:val="20"/>
    </w:rPr>
  </w:style>
  <w:style w:type="character" w:customStyle="1" w:styleId="Znakpodpisu">
    <w:name w:val="Znak podpisu"/>
    <w:basedOn w:val="Standardnpsmoodstavce"/>
    <w:link w:val="Podpis1"/>
    <w:uiPriority w:val="9"/>
    <w:rPr>
      <w:color w:val="595959" w:themeColor="text1" w:themeTint="A6"/>
      <w:kern w:val="20"/>
    </w:rPr>
  </w:style>
  <w:style w:type="character" w:customStyle="1" w:styleId="Znakbezmezer">
    <w:name w:val="Znak bez mezer"/>
    <w:basedOn w:val="Standardnpsmoodstavce"/>
    <w:link w:val="Bezmezer1"/>
    <w:uiPriority w:val="1"/>
  </w:style>
  <w:style w:type="paragraph" w:customStyle="1" w:styleId="Seznamsodrkami">
    <w:name w:val="Seznam s odrážkami"/>
    <w:basedOn w:val="Normln"/>
    <w:uiPriority w:val="1"/>
    <w:unhideWhenUsed/>
    <w:qFormat/>
    <w:pPr>
      <w:numPr>
        <w:numId w:val="1"/>
      </w:numPr>
      <w:spacing w:before="40" w:after="40" w:line="288" w:lineRule="auto"/>
    </w:pPr>
    <w:rPr>
      <w:color w:val="595959" w:themeColor="text1" w:themeTint="A6"/>
      <w:kern w:val="20"/>
    </w:rPr>
  </w:style>
  <w:style w:type="paragraph" w:customStyle="1" w:styleId="slovanseznam1">
    <w:name w:val="Číslovaný seznam1"/>
    <w:basedOn w:val="Normln"/>
    <w:uiPriority w:val="1"/>
    <w:unhideWhenUsed/>
    <w:qFormat/>
    <w:pPr>
      <w:numPr>
        <w:numId w:val="3"/>
      </w:numPr>
      <w:spacing w:before="40" w:after="160" w:line="288" w:lineRule="auto"/>
      <w:contextualSpacing/>
    </w:pPr>
    <w:rPr>
      <w:color w:val="595959" w:themeColor="text1" w:themeTint="A6"/>
      <w:kern w:val="20"/>
    </w:rPr>
  </w:style>
  <w:style w:type="paragraph" w:customStyle="1" w:styleId="slovanseznam21">
    <w:name w:val="Číslovaný seznam 21"/>
    <w:basedOn w:val="Normln"/>
    <w:uiPriority w:val="1"/>
    <w:unhideWhenUsed/>
    <w:qFormat/>
    <w:pPr>
      <w:numPr>
        <w:ilvl w:val="1"/>
        <w:numId w:val="3"/>
      </w:numPr>
      <w:spacing w:before="40" w:after="160" w:line="288" w:lineRule="auto"/>
      <w:contextualSpacing/>
    </w:pPr>
    <w:rPr>
      <w:color w:val="595959" w:themeColor="text1" w:themeTint="A6"/>
      <w:kern w:val="20"/>
    </w:rPr>
  </w:style>
  <w:style w:type="paragraph" w:customStyle="1" w:styleId="slovanseznam31">
    <w:name w:val="Číslovaný seznam 31"/>
    <w:basedOn w:val="Normln"/>
    <w:uiPriority w:val="18"/>
    <w:unhideWhenUsed/>
    <w:pPr>
      <w:numPr>
        <w:ilvl w:val="2"/>
        <w:numId w:val="3"/>
      </w:numPr>
      <w:spacing w:before="40" w:after="160" w:line="288" w:lineRule="auto"/>
      <w:contextualSpacing/>
    </w:pPr>
    <w:rPr>
      <w:color w:val="595959" w:themeColor="text1" w:themeTint="A6"/>
      <w:kern w:val="20"/>
    </w:rPr>
  </w:style>
  <w:style w:type="paragraph" w:customStyle="1" w:styleId="slovanseznam41">
    <w:name w:val="Číslovaný seznam 41"/>
    <w:basedOn w:val="Normln"/>
    <w:uiPriority w:val="18"/>
    <w:unhideWhenUsed/>
    <w:pPr>
      <w:numPr>
        <w:ilvl w:val="3"/>
        <w:numId w:val="3"/>
      </w:numPr>
      <w:spacing w:before="40" w:after="160" w:line="288" w:lineRule="auto"/>
      <w:contextualSpacing/>
    </w:pPr>
    <w:rPr>
      <w:color w:val="595959" w:themeColor="text1" w:themeTint="A6"/>
      <w:kern w:val="20"/>
    </w:rPr>
  </w:style>
  <w:style w:type="paragraph" w:customStyle="1" w:styleId="slovanseznam51">
    <w:name w:val="Číslovaný seznam 51"/>
    <w:basedOn w:val="Normln"/>
    <w:uiPriority w:val="18"/>
    <w:unhideWhenUsed/>
    <w:pPr>
      <w:numPr>
        <w:ilvl w:val="4"/>
        <w:numId w:val="3"/>
      </w:numPr>
      <w:spacing w:before="40" w:after="160" w:line="288" w:lineRule="auto"/>
      <w:contextualSpacing/>
    </w:pPr>
    <w:rPr>
      <w:color w:val="595959" w:themeColor="text1" w:themeTint="A6"/>
      <w:kern w:val="20"/>
    </w:rPr>
  </w:style>
  <w:style w:type="table" w:customStyle="1" w:styleId="Finanntabulka">
    <w:name w:val="Finanční tabulka"/>
    <w:basedOn w:val="Normlntabulka"/>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customStyle="1" w:styleId="Odkaznapoznmku">
    <w:name w:val="Odkaz na poznámku"/>
    <w:basedOn w:val="Standardnpsmoodstavce"/>
    <w:uiPriority w:val="99"/>
    <w:semiHidden/>
    <w:unhideWhenUsed/>
    <w:rPr>
      <w:sz w:val="16"/>
    </w:rPr>
  </w:style>
  <w:style w:type="paragraph" w:customStyle="1" w:styleId="Textpoznmky">
    <w:name w:val="Text poznámky"/>
    <w:basedOn w:val="Normln"/>
    <w:link w:val="Znaktextukomente"/>
    <w:uiPriority w:val="99"/>
    <w:semiHidden/>
    <w:unhideWhenUsed/>
    <w:pPr>
      <w:spacing w:line="240" w:lineRule="auto"/>
    </w:pPr>
  </w:style>
  <w:style w:type="character" w:customStyle="1" w:styleId="Znaktextukomente">
    <w:name w:val="Znak textu komentáře"/>
    <w:basedOn w:val="Standardnpsmoodstavce"/>
    <w:link w:val="Textpoznmky"/>
    <w:uiPriority w:val="99"/>
    <w:semiHidden/>
  </w:style>
  <w:style w:type="paragraph" w:customStyle="1" w:styleId="Pedmtpoznmky">
    <w:name w:val="Předmět poznámky"/>
    <w:basedOn w:val="Textpoznmky"/>
    <w:next w:val="Textpoznmky"/>
    <w:link w:val="Znakpedmtukomente"/>
    <w:uiPriority w:val="99"/>
    <w:semiHidden/>
    <w:unhideWhenUsed/>
    <w:rPr>
      <w:b/>
      <w:bCs/>
    </w:rPr>
  </w:style>
  <w:style w:type="character" w:customStyle="1" w:styleId="Znakpedmtukomente">
    <w:name w:val="Znak předmětu komentáře"/>
    <w:basedOn w:val="Znaktextukomente"/>
    <w:link w:val="Pedmtpoznmky"/>
    <w:uiPriority w:val="99"/>
    <w:semiHidden/>
    <w:rPr>
      <w:b/>
      <w:bCs/>
    </w:rPr>
  </w:style>
  <w:style w:type="table" w:customStyle="1" w:styleId="Svtlstnovn1">
    <w:name w:val="Světlé stínování1"/>
    <w:basedOn w:val="Normlntabulk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exttabulkydestkovslo">
    <w:name w:val="Text tabulky – desítkové číslo"/>
    <w:basedOn w:val="Normln"/>
    <w:uiPriority w:val="1"/>
    <w:qFormat/>
    <w:pPr>
      <w:tabs>
        <w:tab w:val="decimal" w:pos="869"/>
      </w:tabs>
      <w:spacing w:before="60" w:after="60" w:line="240" w:lineRule="auto"/>
    </w:pPr>
  </w:style>
  <w:style w:type="paragraph" w:customStyle="1" w:styleId="Texttabulky">
    <w:name w:val="Text tabulky"/>
    <w:basedOn w:val="Normln"/>
    <w:uiPriority w:val="1"/>
    <w:qFormat/>
    <w:pPr>
      <w:spacing w:before="60" w:after="60" w:line="240" w:lineRule="auto"/>
    </w:pPr>
  </w:style>
  <w:style w:type="paragraph" w:customStyle="1" w:styleId="Organizace">
    <w:name w:val="Organizace"/>
    <w:basedOn w:val="Normln"/>
    <w:uiPriority w:val="2"/>
    <w:qFormat/>
    <w:pPr>
      <w:spacing w:after="60" w:line="240" w:lineRule="auto"/>
      <w:ind w:left="29" w:right="29"/>
    </w:pPr>
    <w:rPr>
      <w:b/>
      <w:bCs/>
      <w:color w:val="EF4623" w:themeColor="accent1"/>
      <w:sz w:val="36"/>
    </w:rPr>
  </w:style>
  <w:style w:type="paragraph" w:styleId="Textbubliny">
    <w:name w:val="Balloon Text"/>
    <w:basedOn w:val="Normln"/>
    <w:link w:val="TextbublinyChar"/>
    <w:uiPriority w:val="99"/>
    <w:semiHidden/>
    <w:unhideWhenUsed/>
    <w:rsid w:val="00983E4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83E47"/>
    <w:rPr>
      <w:rFonts w:ascii="Tahoma" w:hAnsi="Tahoma" w:cs="Tahoma"/>
      <w:sz w:val="16"/>
      <w:szCs w:val="16"/>
    </w:rPr>
  </w:style>
  <w:style w:type="character" w:customStyle="1" w:styleId="Nadpis1Char">
    <w:name w:val="Nadpis 1 Char"/>
    <w:basedOn w:val="Standardnpsmoodstavce"/>
    <w:link w:val="Nadpis1"/>
    <w:uiPriority w:val="9"/>
    <w:rsid w:val="00562E3A"/>
    <w:rPr>
      <w:rFonts w:asciiTheme="majorHAnsi" w:eastAsiaTheme="majorEastAsia" w:hAnsiTheme="majorHAnsi" w:cstheme="majorBidi"/>
      <w:color w:val="BF2B0E" w:themeColor="accent1" w:themeShade="BF"/>
      <w:sz w:val="32"/>
      <w:szCs w:val="32"/>
    </w:rPr>
  </w:style>
  <w:style w:type="paragraph" w:styleId="Nadpisobsahu">
    <w:name w:val="TOC Heading"/>
    <w:aliases w:val="Nadpis poznámky v textu"/>
    <w:basedOn w:val="Nadpis1"/>
    <w:next w:val="Normln"/>
    <w:uiPriority w:val="39"/>
    <w:unhideWhenUsed/>
    <w:qFormat/>
    <w:rsid w:val="00562E3A"/>
    <w:pPr>
      <w:spacing w:before="480" w:line="276" w:lineRule="auto"/>
      <w:outlineLvl w:val="9"/>
    </w:pPr>
    <w:rPr>
      <w:b/>
      <w:bCs/>
      <w:sz w:val="28"/>
      <w:szCs w:val="28"/>
    </w:rPr>
  </w:style>
  <w:style w:type="paragraph" w:styleId="Obsah1">
    <w:name w:val="toc 1"/>
    <w:basedOn w:val="Normln"/>
    <w:next w:val="Normln"/>
    <w:autoRedefine/>
    <w:uiPriority w:val="39"/>
    <w:unhideWhenUsed/>
    <w:rsid w:val="00562E3A"/>
    <w:pPr>
      <w:spacing w:after="100"/>
    </w:pPr>
  </w:style>
  <w:style w:type="paragraph" w:styleId="Obsah2">
    <w:name w:val="toc 2"/>
    <w:basedOn w:val="Normln"/>
    <w:next w:val="Normln"/>
    <w:autoRedefine/>
    <w:uiPriority w:val="39"/>
    <w:unhideWhenUsed/>
    <w:rsid w:val="00562E3A"/>
    <w:pPr>
      <w:spacing w:after="100"/>
      <w:ind w:left="200"/>
    </w:pPr>
  </w:style>
  <w:style w:type="character" w:styleId="Hypertextovodkaz">
    <w:name w:val="Hyperlink"/>
    <w:basedOn w:val="Standardnpsmoodstavce"/>
    <w:uiPriority w:val="99"/>
    <w:unhideWhenUsed/>
    <w:rsid w:val="00562E3A"/>
    <w:rPr>
      <w:color w:val="5F5F5F" w:themeColor="hyperlink"/>
      <w:u w:val="single"/>
    </w:rPr>
  </w:style>
  <w:style w:type="character" w:styleId="Zstupntext">
    <w:name w:val="Placeholder Text"/>
    <w:basedOn w:val="Standardnpsmoodstavce"/>
    <w:uiPriority w:val="99"/>
    <w:semiHidden/>
    <w:rsid w:val="00277CD5"/>
    <w:rPr>
      <w:color w:val="808080"/>
    </w:rPr>
  </w:style>
  <w:style w:type="paragraph" w:styleId="Zhlav">
    <w:name w:val="header"/>
    <w:basedOn w:val="Normln"/>
    <w:link w:val="ZhlavChar"/>
    <w:uiPriority w:val="99"/>
    <w:unhideWhenUsed/>
    <w:qFormat/>
    <w:rsid w:val="00E750E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50EF"/>
  </w:style>
  <w:style w:type="paragraph" w:styleId="Zpat">
    <w:name w:val="footer"/>
    <w:basedOn w:val="Normln"/>
    <w:link w:val="ZpatChar"/>
    <w:uiPriority w:val="99"/>
    <w:unhideWhenUsed/>
    <w:qFormat/>
    <w:rsid w:val="00E750EF"/>
    <w:pPr>
      <w:tabs>
        <w:tab w:val="center" w:pos="4536"/>
        <w:tab w:val="right" w:pos="9072"/>
      </w:tabs>
      <w:spacing w:after="0" w:line="240" w:lineRule="auto"/>
    </w:pPr>
  </w:style>
  <w:style w:type="character" w:customStyle="1" w:styleId="ZpatChar">
    <w:name w:val="Zápatí Char"/>
    <w:basedOn w:val="Standardnpsmoodstavce"/>
    <w:link w:val="Zpat"/>
    <w:uiPriority w:val="99"/>
    <w:rsid w:val="00E750EF"/>
  </w:style>
  <w:style w:type="paragraph" w:styleId="Titulek">
    <w:name w:val="caption"/>
    <w:basedOn w:val="Normln"/>
    <w:next w:val="Normln"/>
    <w:uiPriority w:val="35"/>
    <w:unhideWhenUsed/>
    <w:qFormat/>
    <w:rsid w:val="007716E2"/>
    <w:pPr>
      <w:spacing w:after="200" w:line="240" w:lineRule="auto"/>
    </w:pPr>
    <w:rPr>
      <w:i/>
      <w:iCs/>
      <w:color w:val="000000" w:themeColor="text2"/>
      <w:sz w:val="18"/>
      <w:szCs w:val="18"/>
    </w:rPr>
  </w:style>
  <w:style w:type="paragraph" w:styleId="Odstavecseseznamem">
    <w:name w:val="List Paragraph"/>
    <w:basedOn w:val="Normln"/>
    <w:uiPriority w:val="34"/>
    <w:qFormat/>
    <w:rsid w:val="00531BB0"/>
    <w:pPr>
      <w:ind w:left="720"/>
      <w:contextualSpacing/>
    </w:pPr>
  </w:style>
  <w:style w:type="table" w:customStyle="1" w:styleId="Tabulkaseznamu3zvraznn11">
    <w:name w:val="Tabulka seznamu 3 – zvýraznění 11"/>
    <w:basedOn w:val="Normlntabulka"/>
    <w:next w:val="Tabulkaseznamu3zvraznn1"/>
    <w:uiPriority w:val="48"/>
    <w:rsid w:val="00826C60"/>
    <w:pPr>
      <w:spacing w:after="0" w:line="240" w:lineRule="auto"/>
    </w:pPr>
    <w:rPr>
      <w:color w:val="auto"/>
      <w:sz w:val="22"/>
      <w:szCs w:val="22"/>
      <w:lang w:eastAsia="en-US"/>
    </w:rPr>
    <w:tblPr>
      <w:tblStyleRowBandSize w:val="1"/>
      <w:tblStyleColBandSize w:val="1"/>
      <w:tblBorders>
        <w:top w:val="single" w:sz="4" w:space="0" w:color="EF4623"/>
        <w:left w:val="single" w:sz="4" w:space="0" w:color="EF4623"/>
        <w:bottom w:val="single" w:sz="4" w:space="0" w:color="EF4623"/>
        <w:right w:val="single" w:sz="4" w:space="0" w:color="EF4623"/>
      </w:tblBorders>
    </w:tblPr>
    <w:tblStylePr w:type="firstRow">
      <w:rPr>
        <w:b/>
        <w:bCs/>
        <w:color w:val="FFFFFF"/>
      </w:rPr>
      <w:tblPr/>
      <w:tcPr>
        <w:shd w:val="clear" w:color="auto" w:fill="EF4623"/>
      </w:tcPr>
    </w:tblStylePr>
    <w:tblStylePr w:type="lastRow">
      <w:rPr>
        <w:b/>
        <w:bCs/>
      </w:rPr>
      <w:tblPr/>
      <w:tcPr>
        <w:tcBorders>
          <w:top w:val="double" w:sz="4" w:space="0" w:color="EF462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F4623"/>
          <w:right w:val="single" w:sz="4" w:space="0" w:color="EF4623"/>
        </w:tcBorders>
      </w:tcPr>
    </w:tblStylePr>
    <w:tblStylePr w:type="band1Horz">
      <w:tblPr/>
      <w:tcPr>
        <w:tcBorders>
          <w:top w:val="single" w:sz="4" w:space="0" w:color="EF4623"/>
          <w:bottom w:val="single" w:sz="4" w:space="0" w:color="EF462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623"/>
          <w:left w:val="nil"/>
        </w:tcBorders>
      </w:tcPr>
    </w:tblStylePr>
    <w:tblStylePr w:type="swCell">
      <w:tblPr/>
      <w:tcPr>
        <w:tcBorders>
          <w:top w:val="double" w:sz="4" w:space="0" w:color="EF4623"/>
          <w:right w:val="nil"/>
        </w:tcBorders>
      </w:tcPr>
    </w:tblStylePr>
  </w:style>
  <w:style w:type="table" w:styleId="Tabulkaseznamu3zvraznn1">
    <w:name w:val="List Table 3 Accent 1"/>
    <w:basedOn w:val="Normlntabulka"/>
    <w:uiPriority w:val="48"/>
    <w:rsid w:val="00826C60"/>
    <w:pPr>
      <w:spacing w:after="0" w:line="240" w:lineRule="auto"/>
    </w:pPr>
    <w:tblPr>
      <w:tblStyleRowBandSize w:val="1"/>
      <w:tblStyleColBandSize w:val="1"/>
      <w:tblBorders>
        <w:top w:val="single" w:sz="4" w:space="0" w:color="EF4623" w:themeColor="accent1"/>
        <w:left w:val="single" w:sz="4" w:space="0" w:color="EF4623" w:themeColor="accent1"/>
        <w:bottom w:val="single" w:sz="4" w:space="0" w:color="EF4623" w:themeColor="accent1"/>
        <w:right w:val="single" w:sz="4" w:space="0" w:color="EF4623" w:themeColor="accent1"/>
      </w:tblBorders>
    </w:tblPr>
    <w:tblStylePr w:type="firstRow">
      <w:rPr>
        <w:b/>
        <w:bCs/>
        <w:color w:val="FFFFFF" w:themeColor="background1"/>
      </w:rPr>
      <w:tblPr/>
      <w:tcPr>
        <w:shd w:val="clear" w:color="auto" w:fill="EF4623" w:themeFill="accent1"/>
      </w:tcPr>
    </w:tblStylePr>
    <w:tblStylePr w:type="lastRow">
      <w:rPr>
        <w:b/>
        <w:bCs/>
      </w:rPr>
      <w:tblPr/>
      <w:tcPr>
        <w:tcBorders>
          <w:top w:val="double" w:sz="4" w:space="0" w:color="EF462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4623" w:themeColor="accent1"/>
          <w:right w:val="single" w:sz="4" w:space="0" w:color="EF4623" w:themeColor="accent1"/>
        </w:tcBorders>
      </w:tcPr>
    </w:tblStylePr>
    <w:tblStylePr w:type="band1Horz">
      <w:tblPr/>
      <w:tcPr>
        <w:tcBorders>
          <w:top w:val="single" w:sz="4" w:space="0" w:color="EF4623" w:themeColor="accent1"/>
          <w:bottom w:val="single" w:sz="4" w:space="0" w:color="EF46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623" w:themeColor="accent1"/>
          <w:left w:val="nil"/>
        </w:tcBorders>
      </w:tcPr>
    </w:tblStylePr>
    <w:tblStylePr w:type="swCell">
      <w:tblPr/>
      <w:tcPr>
        <w:tcBorders>
          <w:top w:val="double" w:sz="4" w:space="0" w:color="EF4623" w:themeColor="accent1"/>
          <w:right w:val="nil"/>
        </w:tcBorders>
      </w:tcPr>
    </w:tblStylePr>
  </w:style>
  <w:style w:type="table" w:customStyle="1" w:styleId="Svtlseznamzvraznn11">
    <w:name w:val="Světlý seznam – zvýraznění 11"/>
    <w:basedOn w:val="Normlntabulka"/>
    <w:next w:val="Svtlseznamzvraznn1"/>
    <w:uiPriority w:val="61"/>
    <w:rsid w:val="007F20D3"/>
    <w:pPr>
      <w:spacing w:after="0" w:line="240" w:lineRule="auto"/>
    </w:pPr>
    <w:rPr>
      <w:color w:val="auto"/>
      <w:sz w:val="22"/>
      <w:szCs w:val="22"/>
      <w:lang w:eastAsia="en-US"/>
    </w:rPr>
    <w:tblPr>
      <w:tblStyleRowBandSize w:val="1"/>
      <w:tblStyleColBandSize w:val="1"/>
      <w:tblBorders>
        <w:top w:val="single" w:sz="8" w:space="0" w:color="EF4623"/>
        <w:left w:val="single" w:sz="8" w:space="0" w:color="EF4623"/>
        <w:bottom w:val="single" w:sz="8" w:space="0" w:color="EF4623"/>
        <w:right w:val="single" w:sz="8" w:space="0" w:color="EF4623"/>
      </w:tblBorders>
    </w:tblPr>
    <w:tblStylePr w:type="firstRow">
      <w:pPr>
        <w:spacing w:before="0" w:after="0" w:line="240" w:lineRule="auto"/>
      </w:pPr>
      <w:rPr>
        <w:b/>
        <w:bCs/>
        <w:color w:val="FFFFFF"/>
      </w:rPr>
      <w:tblPr/>
      <w:tcPr>
        <w:shd w:val="clear" w:color="auto" w:fill="EF4623"/>
      </w:tcPr>
    </w:tblStylePr>
    <w:tblStylePr w:type="lastRow">
      <w:pPr>
        <w:spacing w:before="0" w:after="0" w:line="240" w:lineRule="auto"/>
      </w:pPr>
      <w:rPr>
        <w:b/>
        <w:bCs/>
      </w:rPr>
      <w:tblPr/>
      <w:tcPr>
        <w:tcBorders>
          <w:top w:val="double" w:sz="6" w:space="0" w:color="EF4623"/>
          <w:left w:val="single" w:sz="8" w:space="0" w:color="EF4623"/>
          <w:bottom w:val="single" w:sz="8" w:space="0" w:color="EF4623"/>
          <w:right w:val="single" w:sz="8" w:space="0" w:color="EF4623"/>
        </w:tcBorders>
      </w:tcPr>
    </w:tblStylePr>
    <w:tblStylePr w:type="firstCol">
      <w:rPr>
        <w:b/>
        <w:bCs/>
      </w:rPr>
    </w:tblStylePr>
    <w:tblStylePr w:type="lastCol">
      <w:rPr>
        <w:b/>
        <w:bCs/>
      </w:rPr>
    </w:tblStylePr>
    <w:tblStylePr w:type="band1Vert">
      <w:tblPr/>
      <w:tcPr>
        <w:tcBorders>
          <w:top w:val="single" w:sz="8" w:space="0" w:color="EF4623"/>
          <w:left w:val="single" w:sz="8" w:space="0" w:color="EF4623"/>
          <w:bottom w:val="single" w:sz="8" w:space="0" w:color="EF4623"/>
          <w:right w:val="single" w:sz="8" w:space="0" w:color="EF4623"/>
        </w:tcBorders>
      </w:tcPr>
    </w:tblStylePr>
    <w:tblStylePr w:type="band1Horz">
      <w:tblPr/>
      <w:tcPr>
        <w:tcBorders>
          <w:top w:val="single" w:sz="8" w:space="0" w:color="EF4623"/>
          <w:left w:val="single" w:sz="8" w:space="0" w:color="EF4623"/>
          <w:bottom w:val="single" w:sz="8" w:space="0" w:color="EF4623"/>
          <w:right w:val="single" w:sz="8" w:space="0" w:color="EF4623"/>
        </w:tcBorders>
      </w:tcPr>
    </w:tblStylePr>
  </w:style>
  <w:style w:type="table" w:styleId="Svtlseznamzvraznn1">
    <w:name w:val="Light List Accent 1"/>
    <w:basedOn w:val="Normlntabulka"/>
    <w:uiPriority w:val="61"/>
    <w:semiHidden/>
    <w:unhideWhenUsed/>
    <w:rsid w:val="007F20D3"/>
    <w:pPr>
      <w:spacing w:after="0" w:line="240" w:lineRule="auto"/>
    </w:pPr>
    <w:tblPr>
      <w:tblStyleRowBandSize w:val="1"/>
      <w:tblStyleColBandSize w:val="1"/>
      <w:tblBorders>
        <w:top w:val="single" w:sz="8" w:space="0" w:color="EF4623" w:themeColor="accent1"/>
        <w:left w:val="single" w:sz="8" w:space="0" w:color="EF4623" w:themeColor="accent1"/>
        <w:bottom w:val="single" w:sz="8" w:space="0" w:color="EF4623" w:themeColor="accent1"/>
        <w:right w:val="single" w:sz="8" w:space="0" w:color="EF4623" w:themeColor="accent1"/>
      </w:tblBorders>
    </w:tblPr>
    <w:tblStylePr w:type="firstRow">
      <w:pPr>
        <w:spacing w:before="0" w:after="0" w:line="240" w:lineRule="auto"/>
      </w:pPr>
      <w:rPr>
        <w:b/>
        <w:bCs/>
        <w:color w:val="FFFFFF" w:themeColor="background1"/>
      </w:rPr>
      <w:tblPr/>
      <w:tcPr>
        <w:shd w:val="clear" w:color="auto" w:fill="EF4623" w:themeFill="accent1"/>
      </w:tcPr>
    </w:tblStylePr>
    <w:tblStylePr w:type="lastRow">
      <w:pPr>
        <w:spacing w:before="0" w:after="0" w:line="240" w:lineRule="auto"/>
      </w:pPr>
      <w:rPr>
        <w:b/>
        <w:bCs/>
      </w:rPr>
      <w:tblPr/>
      <w:tcPr>
        <w:tcBorders>
          <w:top w:val="double" w:sz="6" w:space="0" w:color="EF4623" w:themeColor="accent1"/>
          <w:left w:val="single" w:sz="8" w:space="0" w:color="EF4623" w:themeColor="accent1"/>
          <w:bottom w:val="single" w:sz="8" w:space="0" w:color="EF4623" w:themeColor="accent1"/>
          <w:right w:val="single" w:sz="8" w:space="0" w:color="EF4623" w:themeColor="accent1"/>
        </w:tcBorders>
      </w:tcPr>
    </w:tblStylePr>
    <w:tblStylePr w:type="firstCol">
      <w:rPr>
        <w:b/>
        <w:bCs/>
      </w:rPr>
    </w:tblStylePr>
    <w:tblStylePr w:type="lastCol">
      <w:rPr>
        <w:b/>
        <w:bCs/>
      </w:rPr>
    </w:tblStylePr>
    <w:tblStylePr w:type="band1Vert">
      <w:tblPr/>
      <w:tcPr>
        <w:tcBorders>
          <w:top w:val="single" w:sz="8" w:space="0" w:color="EF4623" w:themeColor="accent1"/>
          <w:left w:val="single" w:sz="8" w:space="0" w:color="EF4623" w:themeColor="accent1"/>
          <w:bottom w:val="single" w:sz="8" w:space="0" w:color="EF4623" w:themeColor="accent1"/>
          <w:right w:val="single" w:sz="8" w:space="0" w:color="EF4623" w:themeColor="accent1"/>
        </w:tcBorders>
      </w:tcPr>
    </w:tblStylePr>
    <w:tblStylePr w:type="band1Horz">
      <w:tblPr/>
      <w:tcPr>
        <w:tcBorders>
          <w:top w:val="single" w:sz="8" w:space="0" w:color="EF4623" w:themeColor="accent1"/>
          <w:left w:val="single" w:sz="8" w:space="0" w:color="EF4623" w:themeColor="accent1"/>
          <w:bottom w:val="single" w:sz="8" w:space="0" w:color="EF4623" w:themeColor="accent1"/>
          <w:right w:val="single" w:sz="8" w:space="0" w:color="EF4623" w:themeColor="accent1"/>
        </w:tcBorders>
      </w:tcPr>
    </w:tblStylePr>
  </w:style>
  <w:style w:type="paragraph" w:styleId="Textpoznpodarou">
    <w:name w:val="footnote text"/>
    <w:basedOn w:val="Normln"/>
    <w:link w:val="TextpoznpodarouChar"/>
    <w:uiPriority w:val="99"/>
    <w:semiHidden/>
    <w:unhideWhenUsed/>
    <w:rsid w:val="001023DD"/>
    <w:pPr>
      <w:spacing w:after="0" w:line="240" w:lineRule="auto"/>
    </w:pPr>
  </w:style>
  <w:style w:type="character" w:customStyle="1" w:styleId="TextpoznpodarouChar">
    <w:name w:val="Text pozn. pod čarou Char"/>
    <w:basedOn w:val="Standardnpsmoodstavce"/>
    <w:link w:val="Textpoznpodarou"/>
    <w:uiPriority w:val="99"/>
    <w:semiHidden/>
    <w:rsid w:val="001023DD"/>
  </w:style>
  <w:style w:type="character" w:styleId="Znakapoznpodarou">
    <w:name w:val="footnote reference"/>
    <w:basedOn w:val="Standardnpsmoodstavce"/>
    <w:uiPriority w:val="99"/>
    <w:semiHidden/>
    <w:unhideWhenUsed/>
    <w:rsid w:val="001023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6943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ach\AppData\Roaming\Microsoft\Templates\V&#253;ro&#269;n&#237;%20zpr&#225;va%20(&#269;erveno-&#269;ern&#253;%20n&#225;vrh).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mach\OneDrive\Documents\BOZP\BOZP%202015_2017.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1"/>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tx2">
                  <a:lumMod val="75000"/>
                  <a:lumOff val="25000"/>
                </a:schemeClr>
              </a:solidFill>
              <a:ln w="19050">
                <a:solidFill>
                  <a:schemeClr val="lt1"/>
                </a:solidFill>
              </a:ln>
              <a:effectLst/>
            </c:spPr>
          </c:dPt>
          <c:dLbls>
            <c:dLbl>
              <c:idx val="1"/>
              <c:layout>
                <c:manualLayout>
                  <c:x val="0.20579268292682926"/>
                  <c:y val="-0.11307767944936091"/>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0.19054878048780488"/>
                  <c:y val="0.21140609636184857"/>
                </c:manualLayout>
              </c:layout>
              <c:showLegendKey val="1"/>
              <c:showVal val="1"/>
              <c:showCatName val="1"/>
              <c:showSerName val="0"/>
              <c:showPercent val="0"/>
              <c:showBubbleSize val="0"/>
              <c:separator>
</c:separator>
              <c:extLst>
                <c:ext xmlns:c15="http://schemas.microsoft.com/office/drawing/2012/chart" uri="{CE6537A1-D6FC-4f65-9D91-7224C49458BB}"/>
              </c:extLst>
            </c:dLbl>
            <c:dLbl>
              <c:idx val="3"/>
              <c:layout>
                <c:manualLayout>
                  <c:x val="-0.3048780487804878"/>
                  <c:y val="-4.9164208456243856E-2"/>
                </c:manualLayout>
              </c:layout>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1"/>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'MÚ podle činností'!$A$2:$A$5</c:f>
              <c:strCache>
                <c:ptCount val="4"/>
                <c:pt idx="0">
                  <c:v>0statní</c:v>
                </c:pt>
                <c:pt idx="1">
                  <c:v>Těžba energetických surovin</c:v>
                </c:pt>
                <c:pt idx="2">
                  <c:v>Těžba ostatních surovin</c:v>
                </c:pt>
                <c:pt idx="3">
                  <c:v>Nakládání s výbušninami</c:v>
                </c:pt>
              </c:strCache>
            </c:strRef>
          </c:cat>
          <c:val>
            <c:numRef>
              <c:f>'MÚ podle činností'!$D$2:$D$5</c:f>
              <c:numCache>
                <c:formatCode>General</c:formatCode>
                <c:ptCount val="4"/>
                <c:pt idx="1">
                  <c:v>21</c:v>
                </c:pt>
                <c:pt idx="2">
                  <c:v>9</c:v>
                </c:pt>
                <c:pt idx="3">
                  <c:v>5</c:v>
                </c:pt>
              </c:numCache>
            </c:numRef>
          </c:val>
          <c:extLst xmlns:c16r2="http://schemas.microsoft.com/office/drawing/2015/06/chart">
            <c:ext xmlns:c16="http://schemas.microsoft.com/office/drawing/2014/chart" uri="{C3380CC4-5D6E-409C-BE32-E72D297353CC}">
              <c16:uniqueId val="{00000000-0436-4FAA-87E8-FC1F4E652680}"/>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2"/>
          <c:tx>
            <c:strRef>
              <c:f>'Vývoj MÚ'!$E$3</c:f>
              <c:strCache>
                <c:ptCount val="1"/>
                <c:pt idx="0">
                  <c:v>2016</c:v>
                </c:pt>
              </c:strCache>
            </c:strRef>
          </c:tx>
          <c:spPr>
            <a:solidFill>
              <a:schemeClr val="accent3"/>
            </a:solidFill>
            <a:ln>
              <a:noFill/>
            </a:ln>
            <a:effectLst/>
          </c:spPr>
          <c:invertIfNegative val="0"/>
          <c:cat>
            <c:strRef>
              <c:f>'Vývoj MÚ'!$A$4:$A$11</c:f>
              <c:strCache>
                <c:ptCount val="8"/>
                <c:pt idx="0">
                  <c:v>Ostat. závaž. nehody a události, vč. úmrtí </c:v>
                </c:pt>
                <c:pt idx="1">
                  <c:v>Nehody s výbušninami </c:v>
                </c:pt>
                <c:pt idx="2">
                  <c:v>Požáry v dole i na povrchu</c:v>
                </c:pt>
                <c:pt idx="3">
                  <c:v>Zaplynování důlních děl   </c:v>
                </c:pt>
                <c:pt idx="4">
                  <c:v>Zapálení a výbuchy metanu a uhelného prachu</c:v>
                </c:pt>
                <c:pt idx="5">
                  <c:v>Důlní otřesy   </c:v>
                </c:pt>
                <c:pt idx="6">
                  <c:v>Závaly a skluzy zemin (sesuvy)  </c:v>
                </c:pt>
                <c:pt idx="7">
                  <c:v>Nehody na stroj. a elektrozařízení</c:v>
                </c:pt>
              </c:strCache>
            </c:strRef>
          </c:cat>
          <c:val>
            <c:numRef>
              <c:f>'Vývoj MÚ'!$E$4:$E$11</c:f>
              <c:numCache>
                <c:formatCode>General</c:formatCode>
                <c:ptCount val="8"/>
                <c:pt idx="0">
                  <c:v>11</c:v>
                </c:pt>
                <c:pt idx="1">
                  <c:v>3</c:v>
                </c:pt>
                <c:pt idx="2">
                  <c:v>1</c:v>
                </c:pt>
                <c:pt idx="3">
                  <c:v>4</c:v>
                </c:pt>
                <c:pt idx="4">
                  <c:v>1</c:v>
                </c:pt>
                <c:pt idx="5">
                  <c:v>3</c:v>
                </c:pt>
                <c:pt idx="6">
                  <c:v>0</c:v>
                </c:pt>
                <c:pt idx="7">
                  <c:v>2</c:v>
                </c:pt>
              </c:numCache>
            </c:numRef>
          </c:val>
          <c:extLst xmlns:c16r2="http://schemas.microsoft.com/office/drawing/2015/06/chart">
            <c:ext xmlns:c16="http://schemas.microsoft.com/office/drawing/2014/chart" uri="{C3380CC4-5D6E-409C-BE32-E72D297353CC}">
              <c16:uniqueId val="{00000002-57AB-4A03-BF9D-260B1654529C}"/>
            </c:ext>
          </c:extLst>
        </c:ser>
        <c:ser>
          <c:idx val="3"/>
          <c:order val="3"/>
          <c:tx>
            <c:strRef>
              <c:f>'Vývoj MÚ'!$F$3</c:f>
              <c:strCache>
                <c:ptCount val="1"/>
                <c:pt idx="0">
                  <c:v>2017</c:v>
                </c:pt>
              </c:strCache>
            </c:strRef>
          </c:tx>
          <c:spPr>
            <a:solidFill>
              <a:srgbClr val="FF0000"/>
            </a:solidFill>
            <a:ln>
              <a:noFill/>
            </a:ln>
            <a:effectLst/>
          </c:spPr>
          <c:invertIfNegative val="0"/>
          <c:cat>
            <c:strRef>
              <c:f>'Vývoj MÚ'!$A$4:$A$11</c:f>
              <c:strCache>
                <c:ptCount val="8"/>
                <c:pt idx="0">
                  <c:v>Ostat. závaž. nehody a události, vč. úmrtí </c:v>
                </c:pt>
                <c:pt idx="1">
                  <c:v>Nehody s výbušninami </c:v>
                </c:pt>
                <c:pt idx="2">
                  <c:v>Požáry v dole i na povrchu</c:v>
                </c:pt>
                <c:pt idx="3">
                  <c:v>Zaplynování důlních děl   </c:v>
                </c:pt>
                <c:pt idx="4">
                  <c:v>Zapálení a výbuchy metanu a uhelného prachu</c:v>
                </c:pt>
                <c:pt idx="5">
                  <c:v>Důlní otřesy   </c:v>
                </c:pt>
                <c:pt idx="6">
                  <c:v>Závaly a skluzy zemin (sesuvy)  </c:v>
                </c:pt>
                <c:pt idx="7">
                  <c:v>Nehody na stroj. a elektrozařízení</c:v>
                </c:pt>
              </c:strCache>
            </c:strRef>
          </c:cat>
          <c:val>
            <c:numRef>
              <c:f>'Vývoj MÚ'!$F$4:$F$11</c:f>
              <c:numCache>
                <c:formatCode>General</c:formatCode>
                <c:ptCount val="8"/>
                <c:pt idx="0">
                  <c:v>9</c:v>
                </c:pt>
                <c:pt idx="1">
                  <c:v>5</c:v>
                </c:pt>
                <c:pt idx="2">
                  <c:v>2</c:v>
                </c:pt>
                <c:pt idx="3">
                  <c:v>6</c:v>
                </c:pt>
                <c:pt idx="4">
                  <c:v>1</c:v>
                </c:pt>
                <c:pt idx="5">
                  <c:v>2</c:v>
                </c:pt>
                <c:pt idx="6">
                  <c:v>2</c:v>
                </c:pt>
                <c:pt idx="7">
                  <c:v>8</c:v>
                </c:pt>
              </c:numCache>
            </c:numRef>
          </c:val>
        </c:ser>
        <c:dLbls>
          <c:showLegendKey val="0"/>
          <c:showVal val="0"/>
          <c:showCatName val="0"/>
          <c:showSerName val="0"/>
          <c:showPercent val="0"/>
          <c:showBubbleSize val="0"/>
        </c:dLbls>
        <c:gapWidth val="219"/>
        <c:axId val="794420144"/>
        <c:axId val="794420928"/>
        <c:extLst>
          <c:ext xmlns:c15="http://schemas.microsoft.com/office/drawing/2012/chart" uri="{02D57815-91ED-43cb-92C2-25804820EDAC}">
            <c15:filteredBarSeries>
              <c15:ser>
                <c:idx val="0"/>
                <c:order val="0"/>
                <c:tx>
                  <c:strRef>
                    <c:extLst>
                      <c:ext uri="{02D57815-91ED-43cb-92C2-25804820EDAC}">
                        <c15:formulaRef>
                          <c15:sqref>'Vývoj MÚ'!$C$3</c15:sqref>
                        </c15:formulaRef>
                      </c:ext>
                    </c:extLst>
                    <c:strCache>
                      <c:ptCount val="1"/>
                      <c:pt idx="0">
                        <c:v>2014</c:v>
                      </c:pt>
                    </c:strCache>
                  </c:strRef>
                </c:tx>
                <c:spPr>
                  <a:solidFill>
                    <a:schemeClr val="accent1"/>
                  </a:solidFill>
                  <a:ln>
                    <a:noFill/>
                  </a:ln>
                  <a:effectLst/>
                </c:spPr>
                <c:invertIfNegative val="0"/>
                <c:cat>
                  <c:strRef>
                    <c:extLst>
                      <c:ext uri="{02D57815-91ED-43cb-92C2-25804820EDAC}">
                        <c15:formulaRef>
                          <c15:sqref>'Vývoj MÚ'!$A$4:$A$11</c15:sqref>
                        </c15:formulaRef>
                      </c:ext>
                    </c:extLst>
                    <c:strCache>
                      <c:ptCount val="8"/>
                      <c:pt idx="0">
                        <c:v>Ostat. závaž. nehody a události, vč. úmrtí </c:v>
                      </c:pt>
                      <c:pt idx="1">
                        <c:v>Nehody s výbušninami </c:v>
                      </c:pt>
                      <c:pt idx="2">
                        <c:v>Požáry v dole i na povrchu</c:v>
                      </c:pt>
                      <c:pt idx="3">
                        <c:v>Zaplynování důlních děl   </c:v>
                      </c:pt>
                      <c:pt idx="4">
                        <c:v>Zapálení a výbuchy metanu a uhelného prachu</c:v>
                      </c:pt>
                      <c:pt idx="5">
                        <c:v>Důlní otřesy   </c:v>
                      </c:pt>
                      <c:pt idx="6">
                        <c:v>Závaly a skluzy zemin (sesuvy)  </c:v>
                      </c:pt>
                      <c:pt idx="7">
                        <c:v>Nehody na stroj. a elektrozařízení</c:v>
                      </c:pt>
                    </c:strCache>
                  </c:strRef>
                </c:cat>
                <c:val>
                  <c:numRef>
                    <c:extLst>
                      <c:ext uri="{02D57815-91ED-43cb-92C2-25804820EDAC}">
                        <c15:formulaRef>
                          <c15:sqref>'Vývoj MÚ'!$C$4:$C$11</c15:sqref>
                        </c15:formulaRef>
                      </c:ext>
                    </c:extLst>
                    <c:numCache>
                      <c:formatCode>0</c:formatCode>
                      <c:ptCount val="8"/>
                      <c:pt idx="0">
                        <c:v>19</c:v>
                      </c:pt>
                      <c:pt idx="1">
                        <c:v>2</c:v>
                      </c:pt>
                      <c:pt idx="2">
                        <c:v>10</c:v>
                      </c:pt>
                      <c:pt idx="3">
                        <c:v>0</c:v>
                      </c:pt>
                      <c:pt idx="4">
                        <c:v>0</c:v>
                      </c:pt>
                      <c:pt idx="5">
                        <c:v>6</c:v>
                      </c:pt>
                      <c:pt idx="6">
                        <c:v>3</c:v>
                      </c:pt>
                      <c:pt idx="7">
                        <c:v>9</c:v>
                      </c:pt>
                    </c:numCache>
                  </c:numRef>
                </c:val>
                <c:extLst xmlns:c16r2="http://schemas.microsoft.com/office/drawing/2015/06/chart">
                  <c:ext xmlns:c16="http://schemas.microsoft.com/office/drawing/2014/chart" uri="{C3380CC4-5D6E-409C-BE32-E72D297353CC}">
                    <c16:uniqueId val="{00000000-57AB-4A03-BF9D-260B165452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'Vývoj MÚ'!$D$3</c15:sqref>
                        </c15:formulaRef>
                      </c:ext>
                    </c:extLst>
                    <c:strCache>
                      <c:ptCount val="1"/>
                      <c:pt idx="0">
                        <c:v>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'Vývoj MÚ'!$A$4:$A$11</c15:sqref>
                        </c15:formulaRef>
                      </c:ext>
                    </c:extLst>
                    <c:strCache>
                      <c:ptCount val="8"/>
                      <c:pt idx="0">
                        <c:v>Ostat. závaž. nehody a události, vč. úmrtí </c:v>
                      </c:pt>
                      <c:pt idx="1">
                        <c:v>Nehody s výbušninami </c:v>
                      </c:pt>
                      <c:pt idx="2">
                        <c:v>Požáry v dole i na povrchu</c:v>
                      </c:pt>
                      <c:pt idx="3">
                        <c:v>Zaplynování důlních děl   </c:v>
                      </c:pt>
                      <c:pt idx="4">
                        <c:v>Zapálení a výbuchy metanu a uhelného prachu</c:v>
                      </c:pt>
                      <c:pt idx="5">
                        <c:v>Důlní otřesy   </c:v>
                      </c:pt>
                      <c:pt idx="6">
                        <c:v>Závaly a skluzy zemin (sesuvy)  </c:v>
                      </c:pt>
                      <c:pt idx="7">
                        <c:v>Nehody na stroj. a elektrozařízení</c:v>
                      </c:pt>
                    </c:strCache>
                  </c:strRef>
                </c:cat>
                <c:val>
                  <c:numRef>
                    <c:extLst xmlns:c15="http://schemas.microsoft.com/office/drawing/2012/chart">
                      <c:ext xmlns:c15="http://schemas.microsoft.com/office/drawing/2012/chart" uri="{02D57815-91ED-43cb-92C2-25804820EDAC}">
                        <c15:formulaRef>
                          <c15:sqref>'Vývoj MÚ'!$D$4:$D$11</c15:sqref>
                        </c15:formulaRef>
                      </c:ext>
                    </c:extLst>
                    <c:numCache>
                      <c:formatCode>0</c:formatCode>
                      <c:ptCount val="8"/>
                      <c:pt idx="0">
                        <c:v>6</c:v>
                      </c:pt>
                      <c:pt idx="1">
                        <c:v>5</c:v>
                      </c:pt>
                      <c:pt idx="2">
                        <c:v>1</c:v>
                      </c:pt>
                      <c:pt idx="3">
                        <c:v>6</c:v>
                      </c:pt>
                      <c:pt idx="4">
                        <c:v>1</c:v>
                      </c:pt>
                      <c:pt idx="5">
                        <c:v>1</c:v>
                      </c:pt>
                      <c:pt idx="6">
                        <c:v>1</c:v>
                      </c:pt>
                      <c:pt idx="7">
                        <c:v>9</c:v>
                      </c:pt>
                    </c:numCache>
                  </c:numRef>
                </c:val>
                <c:extLst xmlns:c15="http://schemas.microsoft.com/office/drawing/2012/chart" xmlns:c16r2="http://schemas.microsoft.com/office/drawing/2015/06/chart">
                  <c:ext xmlns:c16="http://schemas.microsoft.com/office/drawing/2014/chart" uri="{C3380CC4-5D6E-409C-BE32-E72D297353CC}">
                    <c16:uniqueId val="{00000001-57AB-4A03-BF9D-260B1654529C}"/>
                  </c:ext>
                </c:extLst>
              </c15:ser>
            </c15:filteredBarSeries>
          </c:ext>
        </c:extLst>
      </c:barChart>
      <c:catAx>
        <c:axId val="79442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4420928"/>
        <c:crosses val="autoZero"/>
        <c:auto val="1"/>
        <c:lblAlgn val="ctr"/>
        <c:lblOffset val="100"/>
        <c:noMultiLvlLbl val="0"/>
      </c:catAx>
      <c:valAx>
        <c:axId val="794420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442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'Hlášení o MÚ'!$B$1</c:f>
              <c:strCache>
                <c:ptCount val="1"/>
                <c:pt idx="0">
                  <c:v>Počet</c:v>
                </c:pt>
              </c:strCache>
            </c:strRef>
          </c:tx>
          <c:spPr>
            <a:ln w="635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'Hlášení o MÚ'!$A$4:$A$13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'Hlášení o MÚ'!$B$4:$B$13</c:f>
              <c:numCache>
                <c:formatCode>General</c:formatCode>
                <c:ptCount val="10"/>
                <c:pt idx="0">
                  <c:v>57</c:v>
                </c:pt>
                <c:pt idx="1">
                  <c:v>49</c:v>
                </c:pt>
                <c:pt idx="2">
                  <c:v>48</c:v>
                </c:pt>
                <c:pt idx="3">
                  <c:v>49</c:v>
                </c:pt>
                <c:pt idx="4">
                  <c:v>44</c:v>
                </c:pt>
                <c:pt idx="5">
                  <c:v>39</c:v>
                </c:pt>
                <c:pt idx="6">
                  <c:v>49</c:v>
                </c:pt>
                <c:pt idx="7">
                  <c:v>30</c:v>
                </c:pt>
                <c:pt idx="8">
                  <c:v>25</c:v>
                </c:pt>
                <c:pt idx="9">
                  <c:v>35</c:v>
                </c:pt>
              </c:numCache>
            </c:numRef>
          </c:val>
          <c:smooth val="0"/>
          <c:extLst xmlns:c16r2="http://schemas.microsoft.com/office/drawing/2015/06/chart">
            <c:ext xmlns:c16="http://schemas.microsoft.com/office/drawing/2014/chart" uri="{C3380CC4-5D6E-409C-BE32-E72D297353CC}">
              <c16:uniqueId val="{00000000-90E2-4F66-AD4F-086C36D2E6E8}"/>
            </c:ext>
          </c:extLst>
        </c:ser>
        <c:dLbls>
          <c:dLblPos val="t"/>
          <c:showLegendKey val="0"/>
          <c:showVal val="1"/>
          <c:showCatName val="0"/>
          <c:showSerName val="0"/>
          <c:showPercent val="0"/>
          <c:showBubbleSize val="0"/>
        </c:dLbls>
        <c:smooth val="0"/>
        <c:axId val="794421320"/>
        <c:axId val="794422496"/>
      </c:lineChart>
      <c:catAx>
        <c:axId val="794421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4422496"/>
        <c:crosses val="autoZero"/>
        <c:auto val="1"/>
        <c:lblAlgn val="ctr"/>
        <c:lblOffset val="100"/>
        <c:noMultiLvlLbl val="0"/>
      </c:catAx>
      <c:valAx>
        <c:axId val="79442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442132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explosion val="1"/>
          <c:dPt>
            <c:idx val="2"/>
            <c:bubble3D val="0"/>
            <c:spPr>
              <a:solidFill>
                <a:schemeClr val="bg2">
                  <a:lumMod val="25000"/>
                </a:schemeClr>
              </a:solidFill>
            </c:spPr>
          </c:dPt>
          <c:dPt>
            <c:idx val="3"/>
            <c:bubble3D val="0"/>
            <c:spPr>
              <a:solidFill>
                <a:schemeClr val="accent3">
                  <a:lumMod val="75000"/>
                </a:schemeClr>
              </a:solidFill>
            </c:spPr>
          </c:dPt>
          <c:dLbls>
            <c:dLbl>
              <c:idx val="0"/>
              <c:layout>
                <c:manualLayout>
                  <c:x val="0.16715480568589247"/>
                  <c:y val="-9.8794704603833314E-2"/>
                </c:manualLayout>
              </c:layout>
              <c:spPr>
                <a:noFill/>
                <a:ln>
                  <a:noFill/>
                </a:ln>
                <a:effectLst/>
              </c:spPr>
              <c:txPr>
                <a:bodyPr wrap="square" lIns="38100" tIns="19050" rIns="38100" bIns="19050" anchor="ctr">
                  <a:noAutofit/>
                </a:bodyPr>
                <a:lstStyle/>
                <a:p>
                  <a:pPr>
                    <a:defRPr/>
                  </a:pPr>
                  <a:endParaRPr lang="cs-CZ"/>
                </a:p>
              </c:txPr>
              <c:showLegendKey val="1"/>
              <c:showVal val="1"/>
              <c:showCatName val="1"/>
              <c:showSerName val="0"/>
              <c:showPercent val="0"/>
              <c:showBubbleSize val="0"/>
              <c:separator>
</c:separator>
              <c:extLst>
                <c:ext xmlns:c15="http://schemas.microsoft.com/office/drawing/2012/chart" uri="{CE6537A1-D6FC-4f65-9D91-7224C49458BB}">
                  <c15:layout>
                    <c:manualLayout>
                      <c:w val="0.17995968842108498"/>
                      <c:h val="0.1956135151155898"/>
                    </c:manualLayout>
                  </c15:layout>
                </c:ext>
              </c:extLst>
            </c:dLbl>
            <c:dLbl>
              <c:idx val="1"/>
              <c:layout>
                <c:manualLayout>
                  <c:x val="-0.20863836017569548"/>
                  <c:y val="0.11657775143252308"/>
                </c:manualLayout>
              </c:layout>
              <c:spPr>
                <a:noFill/>
                <a:ln>
                  <a:noFill/>
                </a:ln>
                <a:effectLst/>
              </c:spPr>
              <c:txPr>
                <a:bodyPr wrap="square" lIns="38100" tIns="19050" rIns="38100" bIns="19050" anchor="ctr">
                  <a:noAutofit/>
                </a:bodyPr>
                <a:lstStyle/>
                <a:p>
                  <a:pPr>
                    <a:defRPr/>
                  </a:pPr>
                  <a:endParaRPr lang="cs-CZ"/>
                </a:p>
              </c:txPr>
              <c:showLegendKey val="1"/>
              <c:showVal val="1"/>
              <c:showCatName val="1"/>
              <c:showSerName val="0"/>
              <c:showPercent val="0"/>
              <c:showBubbleSize val="0"/>
              <c:separator>
</c:separator>
              <c:extLst>
                <c:ext xmlns:c15="http://schemas.microsoft.com/office/drawing/2012/chart" uri="{CE6537A1-D6FC-4f65-9D91-7224C49458BB}">
                  <c15:layout>
                    <c:manualLayout>
                      <c:w val="0.19328326089546272"/>
                      <c:h val="0.16992689191859317"/>
                    </c:manualLayout>
                  </c15:layout>
                </c:ext>
              </c:extLst>
            </c:dLbl>
            <c:dLbl>
              <c:idx val="2"/>
              <c:layout>
                <c:manualLayout>
                  <c:x val="-0.2689101270833093"/>
                  <c:y val="-5.7300928670223274E-2"/>
                </c:manualLayout>
              </c:layout>
              <c:spPr>
                <a:noFill/>
                <a:ln>
                  <a:noFill/>
                </a:ln>
                <a:effectLst/>
              </c:spPr>
              <c:txPr>
                <a:bodyPr wrap="square" lIns="38100" tIns="19050" rIns="38100" bIns="19050" anchor="ctr">
                  <a:noAutofit/>
                </a:bodyPr>
                <a:lstStyle/>
                <a:p>
                  <a:pPr>
                    <a:defRPr/>
                  </a:pPr>
                  <a:endParaRPr lang="cs-CZ"/>
                </a:p>
              </c:txPr>
              <c:showLegendKey val="1"/>
              <c:showVal val="1"/>
              <c:showCatName val="1"/>
              <c:showSerName val="0"/>
              <c:showPercent val="0"/>
              <c:showBubbleSize val="0"/>
              <c:separator>
</c:separator>
              <c:extLst>
                <c:ext xmlns:c15="http://schemas.microsoft.com/office/drawing/2012/chart" uri="{CE6537A1-D6FC-4f65-9D91-7224C49458BB}">
                  <c15:layout>
                    <c:manualLayout>
                      <c:w val="0.21304900028052862"/>
                      <c:h val="0.16992689191859317"/>
                    </c:manualLayout>
                  </c15:layout>
                </c:ext>
              </c:extLst>
            </c:dLbl>
            <c:dLbl>
              <c:idx val="3"/>
              <c:layout>
                <c:manualLayout>
                  <c:x val="-0.22205954123962909"/>
                  <c:y val="-0.11855364552459988"/>
                </c:manualLayout>
              </c:layout>
              <c:showLegendKey val="1"/>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'Podle činností'!$P$9:$S$9</c:f>
              <c:strCache>
                <c:ptCount val="4"/>
                <c:pt idx="0">
                  <c:v>Těžba energetických surovin </c:v>
                </c:pt>
                <c:pt idx="1">
                  <c:v>Těžba ostatních surovin</c:v>
                </c:pt>
                <c:pt idx="2">
                  <c:v>Nakládání s výbušninami </c:v>
                </c:pt>
                <c:pt idx="3">
                  <c:v>Ostatní</c:v>
                </c:pt>
              </c:strCache>
            </c:strRef>
          </c:cat>
          <c:val>
            <c:numRef>
              <c:f>'Podle činností'!$P$10:$S$10</c:f>
              <c:numCache>
                <c:formatCode>General</c:formatCode>
                <c:ptCount val="4"/>
                <c:pt idx="0">
                  <c:v>342</c:v>
                </c:pt>
                <c:pt idx="1">
                  <c:v>131</c:v>
                </c:pt>
                <c:pt idx="2">
                  <c:v>60</c:v>
                </c:pt>
                <c:pt idx="3">
                  <c:v>38</c:v>
                </c:pt>
              </c:numCache>
            </c:numRef>
          </c:val>
        </c:ser>
        <c:dLbls>
          <c:showLegendKey val="0"/>
          <c:showVal val="1"/>
          <c:showCatName val="0"/>
          <c:showSerName val="0"/>
          <c:showPercent val="0"/>
          <c:showBubbleSize val="0"/>
          <c:showLeaderLines val="1"/>
        </c:dLbls>
        <c:firstSliceAng val="0"/>
        <c:holeSize val="50"/>
      </c:doughnut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'Vývoj PÚ'!$A$19:$A$28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'Vývoj PÚ'!$B$19:$B$28</c:f>
              <c:numCache>
                <c:formatCode>#,##0</c:formatCode>
                <c:ptCount val="10"/>
                <c:pt idx="0">
                  <c:v>1039</c:v>
                </c:pt>
                <c:pt idx="1">
                  <c:v>898</c:v>
                </c:pt>
                <c:pt idx="2">
                  <c:v>815</c:v>
                </c:pt>
                <c:pt idx="3">
                  <c:v>752</c:v>
                </c:pt>
                <c:pt idx="4">
                  <c:v>735</c:v>
                </c:pt>
                <c:pt idx="5">
                  <c:v>608</c:v>
                </c:pt>
                <c:pt idx="6">
                  <c:v>604</c:v>
                </c:pt>
                <c:pt idx="7">
                  <c:v>510</c:v>
                </c:pt>
                <c:pt idx="8" formatCode="General">
                  <c:v>541</c:v>
                </c:pt>
                <c:pt idx="9" formatCode="General">
                  <c:v>571</c:v>
                </c:pt>
              </c:numCache>
            </c:numRef>
          </c:val>
          <c:extLst xmlns:c16r2="http://schemas.microsoft.com/office/drawing/2015/06/chart">
            <c:ext xmlns:c16="http://schemas.microsoft.com/office/drawing/2014/chart" uri="{C3380CC4-5D6E-409C-BE32-E72D297353CC}">
              <c16:uniqueId val="{00000000-8912-489F-B7A1-728D5176C809}"/>
            </c:ext>
          </c:extLst>
        </c:ser>
        <c:dLbls>
          <c:showLegendKey val="0"/>
          <c:showVal val="1"/>
          <c:showCatName val="0"/>
          <c:showSerName val="0"/>
          <c:showPercent val="0"/>
          <c:showBubbleSize val="0"/>
        </c:dLbls>
        <c:gapWidth val="219"/>
        <c:overlap val="-27"/>
        <c:axId val="794419752"/>
        <c:axId val="794421712"/>
      </c:barChart>
      <c:catAx>
        <c:axId val="794419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4421712"/>
        <c:crosses val="autoZero"/>
        <c:auto val="1"/>
        <c:lblAlgn val="ctr"/>
        <c:lblOffset val="100"/>
        <c:noMultiLvlLbl val="0"/>
      </c:catAx>
      <c:valAx>
        <c:axId val="79442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Počet</a:t>
                </a:r>
                <a:r>
                  <a:rPr lang="cs-CZ"/>
                  <a:t> pracovních úrazů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4419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635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'Úrazy na 1000 osob '!$A$4:$A$13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'Úrazy na 1000 osob '!$B$4:$B$13</c:f>
              <c:numCache>
                <c:formatCode>General</c:formatCode>
                <c:ptCount val="10"/>
                <c:pt idx="0">
                  <c:v>25.36</c:v>
                </c:pt>
                <c:pt idx="1">
                  <c:v>23.5</c:v>
                </c:pt>
                <c:pt idx="2">
                  <c:v>22.62</c:v>
                </c:pt>
                <c:pt idx="3">
                  <c:v>22.01</c:v>
                </c:pt>
                <c:pt idx="4">
                  <c:v>21.85</c:v>
                </c:pt>
                <c:pt idx="5">
                  <c:v>18.850000000000001</c:v>
                </c:pt>
                <c:pt idx="6">
                  <c:v>19.809999999999999</c:v>
                </c:pt>
                <c:pt idx="7">
                  <c:v>17.600000000000001</c:v>
                </c:pt>
                <c:pt idx="8">
                  <c:v>19.899999999999999</c:v>
                </c:pt>
                <c:pt idx="9">
                  <c:v>22.39</c:v>
                </c:pt>
              </c:numCache>
            </c:numRef>
          </c:val>
          <c:smooth val="0"/>
          <c:extLst xmlns:c16r2="http://schemas.microsoft.com/office/drawing/2015/06/chart">
            <c:ext xmlns:c16="http://schemas.microsoft.com/office/drawing/2014/chart" uri="{C3380CC4-5D6E-409C-BE32-E72D297353CC}">
              <c16:uniqueId val="{00000000-C349-44EE-8DCE-A051B87A8736}"/>
            </c:ext>
          </c:extLst>
        </c:ser>
        <c:dLbls>
          <c:showLegendKey val="0"/>
          <c:showVal val="0"/>
          <c:showCatName val="0"/>
          <c:showSerName val="0"/>
          <c:showPercent val="0"/>
          <c:showBubbleSize val="0"/>
        </c:dLbls>
        <c:smooth val="0"/>
        <c:axId val="570909320"/>
        <c:axId val="570911280"/>
      </c:lineChart>
      <c:catAx>
        <c:axId val="570909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0911280"/>
        <c:crosses val="autoZero"/>
        <c:auto val="1"/>
        <c:lblAlgn val="ctr"/>
        <c:lblOffset val="100"/>
        <c:noMultiLvlLbl val="0"/>
      </c:catAx>
      <c:valAx>
        <c:axId val="57091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0909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635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'Vývoj SÚ'!$A$5:$A$14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'Vývoj SÚ'!$B$5:$B$14</c:f>
              <c:numCache>
                <c:formatCode>General</c:formatCode>
                <c:ptCount val="10"/>
                <c:pt idx="0">
                  <c:v>12</c:v>
                </c:pt>
                <c:pt idx="1">
                  <c:v>7</c:v>
                </c:pt>
                <c:pt idx="2">
                  <c:v>5</c:v>
                </c:pt>
                <c:pt idx="3">
                  <c:v>11</c:v>
                </c:pt>
                <c:pt idx="4">
                  <c:v>8</c:v>
                </c:pt>
                <c:pt idx="5">
                  <c:v>4</c:v>
                </c:pt>
                <c:pt idx="6">
                  <c:v>11</c:v>
                </c:pt>
                <c:pt idx="7">
                  <c:v>9</c:v>
                </c:pt>
                <c:pt idx="8">
                  <c:v>2</c:v>
                </c:pt>
                <c:pt idx="9">
                  <c:v>2</c:v>
                </c:pt>
              </c:numCache>
            </c:numRef>
          </c:val>
          <c:smooth val="0"/>
        </c:ser>
        <c:dLbls>
          <c:dLblPos val="t"/>
          <c:showLegendKey val="0"/>
          <c:showVal val="1"/>
          <c:showCatName val="0"/>
          <c:showSerName val="0"/>
          <c:showPercent val="0"/>
          <c:showBubbleSize val="0"/>
        </c:dLbls>
        <c:smooth val="0"/>
        <c:axId val="570910496"/>
        <c:axId val="570908144"/>
      </c:lineChart>
      <c:catAx>
        <c:axId val="570910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0908144"/>
        <c:crosses val="autoZero"/>
        <c:auto val="1"/>
        <c:lblAlgn val="ctr"/>
        <c:lblOffset val="100"/>
        <c:noMultiLvlLbl val="0"/>
      </c:catAx>
      <c:valAx>
        <c:axId val="57090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091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Kozí 4 
110 01 Praha 1</CompanyAddress>
  <CompanyPhone>221 775 311</CompanyPhone>
  <CompanyFax>222 775 363</CompanyFax>
  <CompanyEmail>info@cbusbs.cz</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0FCD64-FC64-44B9-8838-FFB3A1EC422F}">
  <ds:schemaRefs>
    <ds:schemaRef ds:uri="http://schemas.microsoft.com/sharepoint/v3/contenttype/forms"/>
  </ds:schemaRefs>
</ds:datastoreItem>
</file>

<file path=customXml/itemProps3.xml><?xml version="1.0" encoding="utf-8"?>
<ds:datastoreItem xmlns:ds="http://schemas.openxmlformats.org/officeDocument/2006/customXml" ds:itemID="{2CAC6C0A-CDEE-416A-8D06-CD4012BAE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Výroční zpráva (červeno-černý návrh).dotx</Template>
  <TotalTime>1281</TotalTime>
  <Pages>1</Pages>
  <Words>1916</Words>
  <Characters>11306</Characters>
  <Application>Microsoft Office Word</Application>
  <DocSecurity>0</DocSecurity>
  <Lines>94</Lines>
  <Paragraphs>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Informace                                                                                                                                                                                                                o stavu bezpečnosti v hornictví       </vt:lpstr>
      <vt:lpstr/>
    </vt:vector>
  </TitlesOfParts>
  <Company>Český báňský úřad</Company>
  <LinksUpToDate>false</LinksUpToDate>
  <CharactersWithSpaces>13196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Informace                                                                                                                                                                                                                o stavu bezpečnosti v hornictví</dc:title>
  <dc:subject/>
  <dc:creator>Bohuslav Machek</dc:creator>
  <cp:keywords/>
  <dc:description/>
  <cp:lastModifiedBy>Bohuslav Machek</cp:lastModifiedBy>
  <cp:revision>17</cp:revision>
  <cp:lastPrinted>2018-05-29T12:36:00Z</cp:lastPrinted>
  <dcterms:created xsi:type="dcterms:W3CDTF">2018-04-27T08:24:00Z</dcterms:created>
  <dcterms:modified xsi:type="dcterms:W3CDTF">2018-05-29T12:37:00Z</dcterms:modified>
  <cp:contentStatus>www.cbusbs.cz</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