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F44C"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45932F7E" wp14:editId="756117B7">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CAC0AF5" w14:textId="77777777" w:rsidR="005564D9" w:rsidRDefault="005564D9" w:rsidP="005564D9">
      <w:pPr>
        <w:rPr>
          <w:rFonts w:ascii="Georgia" w:eastAsia="Times New Roman" w:hAnsi="Georgia"/>
          <w:b/>
          <w:color w:val="000000"/>
          <w:lang w:eastAsia="cs-CZ"/>
        </w:rPr>
      </w:pPr>
    </w:p>
    <w:p w14:paraId="6F2D42E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66B7E8A" w14:textId="77777777" w:rsidR="005564D9" w:rsidRDefault="005564D9" w:rsidP="005564D9">
      <w:pPr>
        <w:rPr>
          <w:rFonts w:ascii="Georgia" w:eastAsia="Times New Roman" w:hAnsi="Georgia"/>
          <w:color w:val="000000"/>
          <w:lang w:eastAsia="cs-CZ"/>
        </w:rPr>
      </w:pPr>
    </w:p>
    <w:p w14:paraId="54E25504" w14:textId="77777777" w:rsidR="005564D9" w:rsidRDefault="005564D9" w:rsidP="005564D9">
      <w:pPr>
        <w:rPr>
          <w:rFonts w:ascii="Georgia" w:eastAsia="Times New Roman" w:hAnsi="Georgia"/>
          <w:color w:val="000000"/>
          <w:lang w:eastAsia="cs-CZ"/>
        </w:rPr>
      </w:pPr>
    </w:p>
    <w:p w14:paraId="09E44EFA"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16B67C1A" w14:textId="77777777" w:rsidR="005564D9" w:rsidRDefault="005564D9" w:rsidP="005564D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Hlavního města Praha </w:t>
      </w:r>
    </w:p>
    <w:p w14:paraId="71C3BC85" w14:textId="77777777" w:rsidR="005564D9" w:rsidRPr="005564D9" w:rsidRDefault="005564D9" w:rsidP="005564D9">
      <w:pPr>
        <w:spacing w:line="240" w:lineRule="auto"/>
        <w:jc w:val="center"/>
        <w:rPr>
          <w:rFonts w:ascii="Georgia" w:eastAsia="Times New Roman" w:hAnsi="Georgia"/>
          <w:sz w:val="28"/>
          <w:szCs w:val="28"/>
          <w:lang w:eastAsia="cs-CZ"/>
        </w:rPr>
      </w:pPr>
      <w:r w:rsidRPr="005564D9">
        <w:rPr>
          <w:rFonts w:ascii="Georgia" w:eastAsia="Times New Roman" w:hAnsi="Georgia"/>
          <w:color w:val="000000"/>
          <w:sz w:val="28"/>
          <w:szCs w:val="28"/>
          <w:lang w:eastAsia="cs-CZ"/>
        </w:rPr>
        <w:t>a kraje Středočeského</w:t>
      </w:r>
      <w:r w:rsidR="00FC1ABD">
        <w:rPr>
          <w:rFonts w:ascii="Georgia" w:eastAsia="Times New Roman" w:hAnsi="Georgia"/>
          <w:color w:val="000000"/>
          <w:sz w:val="28"/>
          <w:szCs w:val="28"/>
          <w:lang w:eastAsia="cs-CZ"/>
        </w:rPr>
        <w:t xml:space="preserve"> </w:t>
      </w:r>
    </w:p>
    <w:p w14:paraId="7D243AAA" w14:textId="77777777" w:rsidR="005564D9" w:rsidRDefault="005564D9" w:rsidP="005564D9">
      <w:pPr>
        <w:jc w:val="center"/>
        <w:rPr>
          <w:rFonts w:ascii="Georgia" w:eastAsia="Times New Roman" w:hAnsi="Georgia"/>
          <w:b/>
          <w:color w:val="000000"/>
          <w:lang w:eastAsia="cs-CZ"/>
        </w:rPr>
      </w:pPr>
    </w:p>
    <w:p w14:paraId="71EB91CD" w14:textId="77777777" w:rsidR="005564D9" w:rsidRDefault="005564D9" w:rsidP="005564D9">
      <w:pPr>
        <w:rPr>
          <w:rFonts w:ascii="Georgia" w:eastAsia="Times New Roman" w:hAnsi="Georgia"/>
          <w:b/>
          <w:color w:val="000000"/>
          <w:lang w:eastAsia="cs-CZ"/>
        </w:rPr>
      </w:pPr>
    </w:p>
    <w:p w14:paraId="7545640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021B3272" w14:textId="77777777" w:rsidR="005564D9" w:rsidRPr="0055629A" w:rsidRDefault="0055629A"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686AE10E" w14:textId="77777777" w:rsidR="005564D9" w:rsidRPr="0055629A" w:rsidRDefault="005564D9" w:rsidP="005564D9">
      <w:pPr>
        <w:rPr>
          <w:rFonts w:ascii="Georgia" w:eastAsia="Times New Roman" w:hAnsi="Georgia"/>
          <w:color w:val="000000"/>
          <w:lang w:eastAsia="cs-CZ"/>
        </w:rPr>
      </w:pPr>
    </w:p>
    <w:p w14:paraId="6748C548"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DC53AEA" w14:textId="77777777"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p>
    <w:p w14:paraId="42720218"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2AC71987"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332B1C79" w14:textId="1978D358"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 + zvláštní příplatek; mimořádné finanční odměny; motivační finanční ohodnocení v závislosti na odvedené práci</w:t>
      </w:r>
    </w:p>
    <w:p w14:paraId="17F00BE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6F063EE3"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DA788B8"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896467">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FF0677">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7F34D73A"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2931CADA" w14:textId="77777777" w:rsidR="005564D9" w:rsidRDefault="005564D9" w:rsidP="005564D9">
      <w:pPr>
        <w:pStyle w:val="Odstavecseseznamem"/>
        <w:jc w:val="both"/>
        <w:rPr>
          <w:rFonts w:ascii="Georgia" w:eastAsia="Times New Roman" w:hAnsi="Georgia"/>
          <w:color w:val="000000"/>
          <w:lang w:eastAsia="cs-CZ"/>
        </w:rPr>
      </w:pPr>
    </w:p>
    <w:p w14:paraId="763FCD8E" w14:textId="4D38DCBB"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C213FA">
        <w:rPr>
          <w:rFonts w:ascii="Georgia" w:eastAsia="Times New Roman" w:hAnsi="Georgia"/>
          <w:color w:val="000000"/>
          <w:lang w:eastAsia="cs-CZ"/>
        </w:rPr>
        <w:t xml:space="preserve">1. </w:t>
      </w:r>
      <w:r w:rsidR="00107717">
        <w:rPr>
          <w:rFonts w:ascii="Georgia" w:eastAsia="Times New Roman" w:hAnsi="Georgia"/>
          <w:color w:val="000000"/>
          <w:lang w:eastAsia="cs-CZ"/>
        </w:rPr>
        <w:t>ledna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8BDC1EA" w14:textId="03A33C4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107717" w:rsidRPr="003503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C213FA">
        <w:rPr>
          <w:rFonts w:ascii="Georgia" w:eastAsia="Times New Roman" w:hAnsi="Georgia"/>
          <w:b/>
          <w:color w:val="000000"/>
          <w:lang w:eastAsia="cs-CZ"/>
        </w:rPr>
        <w:t> </w:t>
      </w:r>
      <w:r>
        <w:rPr>
          <w:rFonts w:ascii="Georgia" w:eastAsia="Times New Roman" w:hAnsi="Georgia"/>
          <w:b/>
          <w:color w:val="000000"/>
          <w:lang w:eastAsia="cs-CZ"/>
        </w:rPr>
        <w:t>356</w:t>
      </w:r>
    </w:p>
    <w:p w14:paraId="72C4F543" w14:textId="77777777" w:rsidR="00C213FA" w:rsidRDefault="00C213FA" w:rsidP="005564D9">
      <w:pPr>
        <w:spacing w:before="240" w:after="120"/>
        <w:rPr>
          <w:rFonts w:ascii="Georgia" w:eastAsia="Times New Roman" w:hAnsi="Georgia"/>
          <w:color w:val="000000"/>
          <w:lang w:eastAsia="cs-CZ"/>
        </w:rPr>
      </w:pPr>
    </w:p>
    <w:p w14:paraId="09020195" w14:textId="77777777" w:rsidR="005564D9" w:rsidRDefault="005564D9" w:rsidP="009F2A46">
      <w:pPr>
        <w:spacing w:after="0" w:line="360" w:lineRule="auto"/>
        <w:jc w:val="center"/>
        <w:rPr>
          <w:rFonts w:ascii="Arial" w:hAnsi="Arial" w:cs="Arial"/>
          <w:b/>
        </w:rPr>
      </w:pPr>
    </w:p>
    <w:p w14:paraId="5037C64C" w14:textId="77777777" w:rsidR="00107717" w:rsidRDefault="00107717" w:rsidP="009F2A46">
      <w:pPr>
        <w:spacing w:after="0" w:line="360" w:lineRule="auto"/>
        <w:jc w:val="center"/>
        <w:rPr>
          <w:rFonts w:ascii="Arial" w:hAnsi="Arial" w:cs="Arial"/>
          <w:b/>
        </w:rPr>
      </w:pPr>
    </w:p>
    <w:p w14:paraId="2D035685" w14:textId="6FF62008"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w:t>
      </w:r>
      <w:r w:rsidR="00C213FA">
        <w:rPr>
          <w:rFonts w:ascii="Arial" w:hAnsi="Arial" w:cs="Arial"/>
          <w:b/>
        </w:rPr>
        <w:t>O</w:t>
      </w:r>
    </w:p>
    <w:p w14:paraId="741AF84A"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49B43621"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218D6496" w14:textId="77777777" w:rsidR="009F2A46" w:rsidRDefault="009F2A46" w:rsidP="009F2A46">
      <w:pPr>
        <w:spacing w:after="0" w:line="360" w:lineRule="auto"/>
        <w:jc w:val="center"/>
        <w:rPr>
          <w:rFonts w:ascii="Arial" w:hAnsi="Arial" w:cs="Arial"/>
          <w:b/>
          <w:caps/>
        </w:rPr>
      </w:pPr>
      <w:r>
        <w:rPr>
          <w:rFonts w:ascii="Arial" w:hAnsi="Arial" w:cs="Arial"/>
          <w:b/>
          <w:caps/>
        </w:rPr>
        <w:t>pro území HLAVNÍHO MĚSTA PRAHY A KRAJE STŘEDOČESKÉHO</w:t>
      </w:r>
    </w:p>
    <w:p w14:paraId="485884BD" w14:textId="77777777" w:rsidR="00FC1ABD" w:rsidRDefault="00FC1ABD" w:rsidP="009F2A46">
      <w:pPr>
        <w:spacing w:after="0" w:line="360" w:lineRule="auto"/>
        <w:ind w:left="6372" w:right="-284"/>
        <w:rPr>
          <w:rFonts w:ascii="Arial" w:hAnsi="Arial" w:cs="Arial"/>
        </w:rPr>
      </w:pPr>
    </w:p>
    <w:p w14:paraId="06E933FC" w14:textId="62DB8CDD" w:rsidR="009F2A46" w:rsidRDefault="009F2A46" w:rsidP="009F2A46">
      <w:pPr>
        <w:spacing w:after="0" w:line="360" w:lineRule="auto"/>
        <w:ind w:left="6372" w:right="-284"/>
        <w:rPr>
          <w:rFonts w:ascii="Arial" w:hAnsi="Arial" w:cs="Arial"/>
        </w:rPr>
      </w:pPr>
      <w:r>
        <w:rPr>
          <w:rFonts w:ascii="Arial" w:hAnsi="Arial" w:cs="Arial"/>
        </w:rPr>
        <w:t xml:space="preserve">Praha </w:t>
      </w:r>
      <w:r w:rsidR="00107717">
        <w:rPr>
          <w:rFonts w:ascii="Arial" w:hAnsi="Arial" w:cs="Arial"/>
        </w:rPr>
        <w:t>21. října</w:t>
      </w:r>
      <w:r w:rsidR="00C213FA">
        <w:rPr>
          <w:rFonts w:ascii="Arial" w:hAnsi="Arial" w:cs="Arial"/>
        </w:rPr>
        <w:t xml:space="preserve"> 2024</w:t>
      </w:r>
    </w:p>
    <w:p w14:paraId="3B7BFE8C" w14:textId="5C0C7A16"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E92EF0">
        <w:rPr>
          <w:rFonts w:ascii="Arial" w:hAnsi="Arial" w:cs="Arial"/>
        </w:rPr>
        <w:t>46728</w:t>
      </w:r>
      <w:r>
        <w:rPr>
          <w:rFonts w:ascii="Arial" w:hAnsi="Arial" w:cs="Arial"/>
        </w:rPr>
        <w:t>/202</w:t>
      </w:r>
      <w:r w:rsidR="00316759">
        <w:rPr>
          <w:rFonts w:ascii="Arial" w:hAnsi="Arial" w:cs="Arial"/>
        </w:rPr>
        <w:t>4</w:t>
      </w:r>
    </w:p>
    <w:p w14:paraId="1EE11CF3" w14:textId="77777777" w:rsidR="009F2A46" w:rsidRDefault="009F2A46" w:rsidP="009F2A46">
      <w:pPr>
        <w:pStyle w:val="Default"/>
        <w:spacing w:line="360" w:lineRule="auto"/>
        <w:jc w:val="both"/>
        <w:rPr>
          <w:rFonts w:ascii="Arial" w:hAnsi="Arial" w:cs="Arial"/>
          <w:b/>
          <w:bCs/>
          <w:sz w:val="22"/>
          <w:szCs w:val="22"/>
        </w:rPr>
      </w:pPr>
    </w:p>
    <w:p w14:paraId="3D2052D2" w14:textId="77777777" w:rsidR="009F2A46" w:rsidRDefault="009F2A46" w:rsidP="009F2A46">
      <w:pPr>
        <w:pStyle w:val="Default"/>
        <w:spacing w:line="360" w:lineRule="auto"/>
        <w:jc w:val="both"/>
        <w:rPr>
          <w:rFonts w:ascii="Arial" w:hAnsi="Arial" w:cs="Arial"/>
          <w:b/>
          <w:sz w:val="22"/>
          <w:szCs w:val="22"/>
        </w:rPr>
      </w:pPr>
    </w:p>
    <w:p w14:paraId="1C16132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15E8FF2F"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Předseda Českého báňského úřadu jako služební orgán příslušný podle § 10 odst. 1 písm. f) zákona č. 234/2014 Sb., o státní službě (dále jen „zákon“), vyhlašuje výběrové řízení na služební míst</w:t>
      </w:r>
      <w:r w:rsidR="00C213FA">
        <w:rPr>
          <w:rFonts w:ascii="Arial" w:hAnsi="Arial" w:cs="Arial"/>
          <w:sz w:val="22"/>
          <w:szCs w:val="22"/>
        </w:rPr>
        <w:t>o</w:t>
      </w:r>
      <w:r>
        <w:rPr>
          <w:rFonts w:ascii="Arial" w:hAnsi="Arial" w:cs="Arial"/>
          <w:sz w:val="22"/>
          <w:szCs w:val="22"/>
        </w:rPr>
        <w:t xml:space="preserve"> </w:t>
      </w:r>
      <w:r>
        <w:rPr>
          <w:rFonts w:ascii="Arial" w:hAnsi="Arial" w:cs="Arial"/>
          <w:b/>
          <w:bCs/>
          <w:sz w:val="22"/>
          <w:szCs w:val="22"/>
        </w:rPr>
        <w:t>obvodního báňského inspektora/</w:t>
      </w:r>
      <w:r w:rsidR="00EA3582">
        <w:rPr>
          <w:rFonts w:ascii="Arial" w:hAnsi="Arial" w:cs="Arial"/>
          <w:b/>
          <w:bCs/>
          <w:sz w:val="22"/>
          <w:szCs w:val="22"/>
        </w:rPr>
        <w:t xml:space="preserve"> </w:t>
      </w:r>
      <w:r>
        <w:rPr>
          <w:rFonts w:ascii="Arial" w:hAnsi="Arial" w:cs="Arial"/>
          <w:b/>
          <w:bCs/>
          <w:sz w:val="22"/>
          <w:szCs w:val="22"/>
        </w:rPr>
        <w:t xml:space="preserve">obvodní báňské inspektorky </w:t>
      </w:r>
      <w:r>
        <w:rPr>
          <w:rFonts w:ascii="Arial" w:hAnsi="Arial" w:cs="Arial"/>
          <w:sz w:val="22"/>
          <w:szCs w:val="22"/>
        </w:rPr>
        <w:t xml:space="preserve">Obvodního báňského úřadu pro území Hlavního města Prahy a kraje Středočeského, s pracovištěm v Kozí 4, 110 01 Praha 1. </w:t>
      </w:r>
    </w:p>
    <w:p w14:paraId="26925CE8" w14:textId="77777777" w:rsidR="009F2A46" w:rsidRDefault="009F2A46" w:rsidP="009F2A46">
      <w:pPr>
        <w:pStyle w:val="Default"/>
        <w:spacing w:line="360" w:lineRule="auto"/>
        <w:jc w:val="both"/>
        <w:rPr>
          <w:rFonts w:ascii="Arial" w:hAnsi="Arial" w:cs="Arial"/>
          <w:sz w:val="22"/>
          <w:szCs w:val="22"/>
        </w:rPr>
      </w:pPr>
    </w:p>
    <w:p w14:paraId="5802F7E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04ED985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9FADEC9" w14:textId="77777777" w:rsidR="00E45C7A" w:rsidRDefault="00E45C7A" w:rsidP="009F2A46">
      <w:pPr>
        <w:pStyle w:val="Default"/>
        <w:spacing w:line="360" w:lineRule="auto"/>
        <w:jc w:val="both"/>
        <w:rPr>
          <w:rFonts w:ascii="Arial" w:hAnsi="Arial" w:cs="Arial"/>
          <w:color w:val="auto"/>
          <w:sz w:val="22"/>
          <w:szCs w:val="22"/>
        </w:rPr>
      </w:pPr>
    </w:p>
    <w:p w14:paraId="184184F0" w14:textId="738D4624"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107717">
        <w:rPr>
          <w:rFonts w:ascii="Arial" w:hAnsi="Arial" w:cs="Arial"/>
          <w:b/>
          <w:bCs/>
          <w:color w:val="auto"/>
          <w:sz w:val="22"/>
          <w:szCs w:val="22"/>
        </w:rPr>
        <w:t>leden 2025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24959C58" w14:textId="77777777" w:rsidR="00E45C7A" w:rsidRDefault="00E45C7A" w:rsidP="009F2A46">
      <w:pPr>
        <w:spacing w:after="120" w:line="360" w:lineRule="auto"/>
        <w:jc w:val="both"/>
        <w:rPr>
          <w:rFonts w:ascii="Arial" w:hAnsi="Arial" w:cs="Arial"/>
        </w:rPr>
      </w:pPr>
    </w:p>
    <w:p w14:paraId="1A9B9571"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5DC0CFBD"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48EE6EA2" w14:textId="77777777" w:rsidR="009F2A46" w:rsidRDefault="009F2A46" w:rsidP="009F2A46">
      <w:pPr>
        <w:pStyle w:val="Default"/>
        <w:spacing w:line="360" w:lineRule="auto"/>
        <w:jc w:val="both"/>
        <w:rPr>
          <w:rFonts w:ascii="Arial" w:hAnsi="Arial" w:cs="Arial"/>
          <w:b/>
          <w:sz w:val="22"/>
          <w:szCs w:val="22"/>
        </w:rPr>
      </w:pPr>
    </w:p>
    <w:p w14:paraId="7E17290B"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598E9649" w14:textId="49B9281C"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w:t>
      </w:r>
      <w:r w:rsidR="00C16CDB">
        <w:rPr>
          <w:rFonts w:ascii="Arial" w:hAnsi="Arial" w:cs="Arial"/>
          <w:sz w:val="22"/>
          <w:szCs w:val="22"/>
        </w:rPr>
        <w:t xml:space="preserve"> v rámci Hlavního města Prahy a území Středočeského kraje</w:t>
      </w:r>
      <w:r>
        <w:rPr>
          <w:rFonts w:ascii="Arial" w:hAnsi="Arial" w:cs="Arial"/>
          <w:sz w:val="22"/>
          <w:szCs w:val="22"/>
        </w:rPr>
        <w:t xml:space="preserve">, prověřování odborné způsobilosti dozorovaných organizací a jejich pracovníků, </w:t>
      </w:r>
    </w:p>
    <w:p w14:paraId="4E28622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7E49969A"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6823937F"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37DE4B3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kontrol</w:t>
      </w:r>
      <w:r w:rsidR="0028296F">
        <w:rPr>
          <w:rFonts w:ascii="Arial" w:hAnsi="Arial" w:cs="Arial"/>
          <w:sz w:val="22"/>
          <w:szCs w:val="22"/>
        </w:rPr>
        <w:t>a</w:t>
      </w:r>
      <w:r>
        <w:rPr>
          <w:rFonts w:ascii="Arial" w:hAnsi="Arial" w:cs="Arial"/>
          <w:sz w:val="22"/>
          <w:szCs w:val="22"/>
        </w:rPr>
        <w:t xml:space="preserve"> nad tvorbou finančních rezerv, které jsou organizace povinny vytvářet na vypořádání důlních škod, sanace a rekultivace území dotčeného těžbou, povol</w:t>
      </w:r>
      <w:r w:rsidR="00787E8D">
        <w:rPr>
          <w:rFonts w:ascii="Arial" w:hAnsi="Arial" w:cs="Arial"/>
          <w:sz w:val="22"/>
          <w:szCs w:val="22"/>
        </w:rPr>
        <w:t>ování čerpání z těchto rezerv a </w:t>
      </w:r>
      <w:r>
        <w:rPr>
          <w:rFonts w:ascii="Arial" w:hAnsi="Arial" w:cs="Arial"/>
          <w:sz w:val="22"/>
          <w:szCs w:val="22"/>
        </w:rPr>
        <w:t>poskytování součinnosti při vymáhání penále a nedoplatků,</w:t>
      </w:r>
    </w:p>
    <w:p w14:paraId="65F8AC9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 v rámci agendy úhrad z dobývacích prostor a vydobytých nerostů,</w:t>
      </w:r>
    </w:p>
    <w:p w14:paraId="1002D3E3" w14:textId="3680B130"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poskytování informací z evidence </w:t>
      </w:r>
      <w:r w:rsidR="00107717">
        <w:rPr>
          <w:rFonts w:ascii="Arial" w:hAnsi="Arial" w:cs="Arial"/>
          <w:sz w:val="22"/>
          <w:szCs w:val="22"/>
        </w:rPr>
        <w:t>dobývacích prostor</w:t>
      </w:r>
      <w:r>
        <w:rPr>
          <w:rFonts w:ascii="Arial" w:hAnsi="Arial" w:cs="Arial"/>
          <w:sz w:val="22"/>
          <w:szCs w:val="22"/>
        </w:rPr>
        <w:t xml:space="preserve"> a o ložiscích nerostů pro potřeby orgánů územního plánování,</w:t>
      </w:r>
    </w:p>
    <w:p w14:paraId="57875E91" w14:textId="3684091C"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vypracovávání návrhů na vydávání rozhodnutí </w:t>
      </w:r>
      <w:r w:rsidR="00107717">
        <w:rPr>
          <w:rFonts w:ascii="Arial" w:hAnsi="Arial" w:cs="Arial"/>
          <w:sz w:val="22"/>
          <w:szCs w:val="22"/>
        </w:rPr>
        <w:t>obvodního báňského úřadu</w:t>
      </w:r>
      <w:r>
        <w:rPr>
          <w:rFonts w:ascii="Arial" w:hAnsi="Arial" w:cs="Arial"/>
          <w:sz w:val="22"/>
          <w:szCs w:val="22"/>
        </w:rPr>
        <w:t xml:space="preserve"> </w:t>
      </w:r>
      <w:r w:rsidR="007D47F7">
        <w:rPr>
          <w:rFonts w:ascii="Arial" w:hAnsi="Arial" w:cs="Arial"/>
          <w:sz w:val="22"/>
          <w:szCs w:val="22"/>
        </w:rPr>
        <w:t xml:space="preserve">o povolení hornické činnosti, o povolení trhacích prací malého a velkého rozsahu, </w:t>
      </w:r>
      <w:r w:rsidR="00097C57">
        <w:rPr>
          <w:rFonts w:ascii="Arial" w:hAnsi="Arial" w:cs="Arial"/>
          <w:sz w:val="22"/>
          <w:szCs w:val="22"/>
        </w:rPr>
        <w:t xml:space="preserve">o povolení </w:t>
      </w:r>
      <w:r w:rsidR="007D47F7">
        <w:rPr>
          <w:rFonts w:ascii="Arial" w:hAnsi="Arial" w:cs="Arial"/>
          <w:sz w:val="22"/>
          <w:szCs w:val="22"/>
        </w:rPr>
        <w:t xml:space="preserve">činnosti prováděné hornickým způsobem, </w:t>
      </w:r>
      <w:r w:rsidR="00097C57">
        <w:rPr>
          <w:rFonts w:ascii="Arial" w:hAnsi="Arial" w:cs="Arial"/>
          <w:sz w:val="22"/>
          <w:szCs w:val="22"/>
        </w:rPr>
        <w:t>o </w:t>
      </w:r>
      <w:r w:rsidR="007D47F7">
        <w:rPr>
          <w:rFonts w:ascii="Arial" w:hAnsi="Arial" w:cs="Arial"/>
          <w:sz w:val="22"/>
          <w:szCs w:val="22"/>
        </w:rPr>
        <w:t xml:space="preserve">souhlasu ke smluvnímu převodu </w:t>
      </w:r>
      <w:r w:rsidR="00107717">
        <w:rPr>
          <w:rFonts w:ascii="Arial" w:hAnsi="Arial" w:cs="Arial"/>
          <w:sz w:val="22"/>
          <w:szCs w:val="22"/>
        </w:rPr>
        <w:t>dobývacích prostor</w:t>
      </w:r>
      <w:r w:rsidR="007D47F7">
        <w:rPr>
          <w:rFonts w:ascii="Arial" w:hAnsi="Arial" w:cs="Arial"/>
          <w:sz w:val="22"/>
          <w:szCs w:val="22"/>
        </w:rPr>
        <w:t xml:space="preserve">, o stanovení, změně a zrušení </w:t>
      </w:r>
      <w:r w:rsidR="00107717">
        <w:rPr>
          <w:rFonts w:ascii="Arial" w:hAnsi="Arial" w:cs="Arial"/>
          <w:sz w:val="22"/>
          <w:szCs w:val="22"/>
        </w:rPr>
        <w:t>dobývacích prostor</w:t>
      </w:r>
      <w:r w:rsidR="007D47F7">
        <w:rPr>
          <w:rFonts w:ascii="Arial" w:hAnsi="Arial" w:cs="Arial"/>
          <w:sz w:val="22"/>
          <w:szCs w:val="22"/>
        </w:rPr>
        <w:t>, o po</w:t>
      </w:r>
      <w:r w:rsidR="00314A8F">
        <w:rPr>
          <w:rFonts w:ascii="Arial" w:hAnsi="Arial" w:cs="Arial"/>
          <w:sz w:val="22"/>
          <w:szCs w:val="22"/>
        </w:rPr>
        <w:t xml:space="preserve">volení důlních děl </w:t>
      </w:r>
      <w:r w:rsidR="00314A8F" w:rsidRPr="00314A8F">
        <w:t>a</w:t>
      </w:r>
      <w:r w:rsidR="00314A8F">
        <w:t> </w:t>
      </w:r>
      <w:r w:rsidR="007D47F7" w:rsidRPr="00314A8F">
        <w:t>důlních</w:t>
      </w:r>
      <w:r w:rsidR="007D47F7">
        <w:rPr>
          <w:rFonts w:ascii="Arial" w:hAnsi="Arial" w:cs="Arial"/>
          <w:sz w:val="22"/>
          <w:szCs w:val="22"/>
        </w:rPr>
        <w:t xml:space="preserve"> staveb pod povrchem nebo důlních staveb sloužících otvírce, přípravě a dobývání v lomech a v hranicích skutečně provedených skrývek nebo těžby</w:t>
      </w:r>
      <w:r w:rsidR="00097C57">
        <w:rPr>
          <w:rFonts w:ascii="Arial" w:hAnsi="Arial" w:cs="Arial"/>
          <w:sz w:val="22"/>
          <w:szCs w:val="22"/>
        </w:rPr>
        <w:t xml:space="preserve"> a</w:t>
      </w:r>
      <w:r w:rsidR="007D47F7">
        <w:rPr>
          <w:rFonts w:ascii="Arial" w:hAnsi="Arial" w:cs="Arial"/>
          <w:sz w:val="22"/>
          <w:szCs w:val="22"/>
        </w:rPr>
        <w:t xml:space="preserve"> </w:t>
      </w:r>
      <w:r>
        <w:rPr>
          <w:rFonts w:ascii="Arial" w:hAnsi="Arial" w:cs="Arial"/>
          <w:sz w:val="22"/>
          <w:szCs w:val="22"/>
        </w:rPr>
        <w:t xml:space="preserve">o odpisu malého množství zásob výhradního ložiska, </w:t>
      </w:r>
    </w:p>
    <w:p w14:paraId="7F43B5DE" w14:textId="6F77A6A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vedení stanovené evidence </w:t>
      </w:r>
      <w:r w:rsidR="00107717">
        <w:rPr>
          <w:rFonts w:ascii="Arial" w:hAnsi="Arial" w:cs="Arial"/>
          <w:sz w:val="22"/>
          <w:szCs w:val="22"/>
        </w:rPr>
        <w:t>obvodního báňského úřadu</w:t>
      </w:r>
      <w:r>
        <w:rPr>
          <w:rFonts w:ascii="Arial" w:hAnsi="Arial" w:cs="Arial"/>
          <w:sz w:val="22"/>
          <w:szCs w:val="22"/>
        </w:rPr>
        <w:t>.</w:t>
      </w:r>
    </w:p>
    <w:p w14:paraId="63A4F3A4" w14:textId="77777777" w:rsidR="009F2A46" w:rsidRDefault="009F2A46" w:rsidP="009F2A46">
      <w:pPr>
        <w:pStyle w:val="Default"/>
        <w:spacing w:line="360" w:lineRule="auto"/>
        <w:jc w:val="both"/>
        <w:rPr>
          <w:rFonts w:ascii="Arial" w:hAnsi="Arial" w:cs="Arial"/>
          <w:sz w:val="22"/>
          <w:szCs w:val="22"/>
        </w:rPr>
      </w:pPr>
    </w:p>
    <w:p w14:paraId="4A23CD4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5A87939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E36879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2CFC5D03" w14:textId="77777777" w:rsidR="009F2A46" w:rsidRDefault="009F2A46" w:rsidP="009F2A46">
      <w:pPr>
        <w:pStyle w:val="Default"/>
        <w:spacing w:line="360" w:lineRule="auto"/>
        <w:jc w:val="both"/>
        <w:rPr>
          <w:rFonts w:ascii="Arial" w:hAnsi="Arial" w:cs="Arial"/>
          <w:sz w:val="22"/>
          <w:szCs w:val="22"/>
        </w:rPr>
      </w:pPr>
    </w:p>
    <w:p w14:paraId="6888F58F"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9415500"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platový tarif od 27 650 Kč do 40 740 Kč</w:t>
      </w:r>
      <w:r>
        <w:rPr>
          <w:rFonts w:ascii="Arial" w:hAnsi="Arial" w:cs="Arial"/>
          <w:sz w:val="22"/>
          <w:szCs w:val="22"/>
        </w:rPr>
        <w:t xml:space="preserve">. </w:t>
      </w:r>
    </w:p>
    <w:p w14:paraId="0A66C9FA"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245F41A8" w14:textId="77777777" w:rsidR="009F2A46" w:rsidRDefault="009F2A46" w:rsidP="009F2A46">
      <w:pPr>
        <w:pStyle w:val="Default"/>
        <w:spacing w:line="360" w:lineRule="auto"/>
        <w:jc w:val="both"/>
        <w:rPr>
          <w:rFonts w:ascii="Arial" w:hAnsi="Arial" w:cs="Arial"/>
          <w:sz w:val="22"/>
          <w:szCs w:val="22"/>
        </w:rPr>
      </w:pPr>
    </w:p>
    <w:p w14:paraId="7566889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99322C1"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1CA949EA" w14:textId="5EB36CE0"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107717">
        <w:rPr>
          <w:rFonts w:ascii="Arial" w:hAnsi="Arial" w:cs="Arial"/>
          <w:color w:val="auto"/>
          <w:sz w:val="22"/>
          <w:szCs w:val="22"/>
        </w:rPr>
        <w:t>100</w:t>
      </w:r>
      <w:r>
        <w:rPr>
          <w:rFonts w:ascii="Arial" w:hAnsi="Arial" w:cs="Arial"/>
          <w:color w:val="auto"/>
          <w:sz w:val="22"/>
          <w:szCs w:val="22"/>
        </w:rPr>
        <w:t xml:space="preserve"> % platového tarifu nejvyššího platového stupně v platové třídě, do které je zařazeno služební místo, na kterém státní zaměstnanec vykonává službu. </w:t>
      </w:r>
    </w:p>
    <w:p w14:paraId="25855CF8" w14:textId="77777777" w:rsidR="009F2A46" w:rsidRDefault="009F2A46" w:rsidP="009F2A46">
      <w:pPr>
        <w:pStyle w:val="Default"/>
        <w:spacing w:line="360" w:lineRule="auto"/>
        <w:jc w:val="both"/>
        <w:rPr>
          <w:rFonts w:ascii="Arial" w:hAnsi="Arial" w:cs="Arial"/>
          <w:color w:val="auto"/>
          <w:sz w:val="22"/>
          <w:szCs w:val="22"/>
        </w:rPr>
      </w:pPr>
    </w:p>
    <w:p w14:paraId="084C4A19" w14:textId="77777777" w:rsidR="00E45C7A" w:rsidRDefault="00E45C7A" w:rsidP="009F2A46">
      <w:pPr>
        <w:pStyle w:val="Default"/>
        <w:spacing w:line="360" w:lineRule="auto"/>
        <w:jc w:val="both"/>
        <w:rPr>
          <w:rFonts w:ascii="Arial" w:hAnsi="Arial" w:cs="Arial"/>
          <w:b/>
          <w:color w:val="auto"/>
          <w:sz w:val="22"/>
          <w:szCs w:val="22"/>
        </w:rPr>
      </w:pPr>
    </w:p>
    <w:p w14:paraId="450AF3AB" w14:textId="77777777" w:rsidR="00107717" w:rsidRDefault="00107717" w:rsidP="009F2A46">
      <w:pPr>
        <w:pStyle w:val="Default"/>
        <w:spacing w:line="360" w:lineRule="auto"/>
        <w:jc w:val="both"/>
        <w:rPr>
          <w:rFonts w:ascii="Arial" w:hAnsi="Arial" w:cs="Arial"/>
          <w:b/>
          <w:color w:val="auto"/>
          <w:sz w:val="22"/>
          <w:szCs w:val="22"/>
        </w:rPr>
      </w:pPr>
    </w:p>
    <w:p w14:paraId="71C356CE"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lastRenderedPageBreak/>
        <w:t>2.3 Zvláštní příplatek</w:t>
      </w:r>
    </w:p>
    <w:p w14:paraId="6DE5FFBD" w14:textId="5D4B43DE"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w:t>
      </w:r>
      <w:r w:rsidR="00107717">
        <w:rPr>
          <w:rFonts w:ascii="Arial" w:eastAsiaTheme="minorHAnsi" w:hAnsi="Arial" w:cs="Arial"/>
        </w:rPr>
        <w:t>2</w:t>
      </w:r>
      <w:r>
        <w:rPr>
          <w:rFonts w:ascii="Arial" w:eastAsiaTheme="minorHAnsi" w:hAnsi="Arial" w:cs="Arial"/>
        </w:rPr>
        <w:t xml:space="preserve">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w:t>
      </w:r>
      <w:proofErr w:type="gramStart"/>
      <w:r>
        <w:rPr>
          <w:rFonts w:ascii="Arial" w:eastAsiaTheme="minorHAnsi" w:hAnsi="Arial" w:cs="Arial"/>
        </w:rPr>
        <w:t>a  v</w:t>
      </w:r>
      <w:proofErr w:type="gramEnd"/>
      <w:r>
        <w:rPr>
          <w:rFonts w:ascii="Arial" w:eastAsiaTheme="minorHAnsi" w:hAnsi="Arial" w:cs="Arial"/>
        </w:rPr>
        <w:t xml:space="preserve">  návaznosti na přílohu č. </w:t>
      </w:r>
      <w:r w:rsidR="00107717">
        <w:rPr>
          <w:rFonts w:ascii="Arial" w:eastAsiaTheme="minorHAnsi" w:hAnsi="Arial" w:cs="Arial"/>
        </w:rPr>
        <w:t>2</w:t>
      </w:r>
      <w:r>
        <w:rPr>
          <w:rFonts w:ascii="Arial" w:eastAsiaTheme="minorHAnsi" w:hAnsi="Arial" w:cs="Arial"/>
        </w:rPr>
        <w:t xml:space="preserve">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2 000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2B90ECDF" w14:textId="77777777" w:rsidR="009F2A46" w:rsidRDefault="009F2A46" w:rsidP="009F2A46">
      <w:pPr>
        <w:spacing w:after="0" w:line="360" w:lineRule="auto"/>
        <w:contextualSpacing/>
        <w:jc w:val="both"/>
        <w:rPr>
          <w:rFonts w:ascii="Arial" w:eastAsiaTheme="minorHAnsi" w:hAnsi="Arial" w:cs="Arial"/>
        </w:rPr>
      </w:pPr>
    </w:p>
    <w:p w14:paraId="71DC00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200DFD6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53BE82A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4EA60EC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3922CF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29D46B9B" w14:textId="244197E9"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2E64F6">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5530EBA7" w14:textId="77777777" w:rsidR="009F2A46" w:rsidRDefault="009F2A46" w:rsidP="009F2A46">
      <w:pPr>
        <w:pStyle w:val="Default"/>
        <w:spacing w:line="360" w:lineRule="auto"/>
        <w:jc w:val="both"/>
        <w:rPr>
          <w:rFonts w:ascii="Arial" w:hAnsi="Arial" w:cs="Arial"/>
          <w:color w:val="auto"/>
          <w:sz w:val="22"/>
          <w:szCs w:val="22"/>
        </w:rPr>
      </w:pPr>
    </w:p>
    <w:p w14:paraId="50CD576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709F26A4" w14:textId="689F1DA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314A8F">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107717">
        <w:rPr>
          <w:rFonts w:ascii="Arial" w:hAnsi="Arial" w:cs="Arial"/>
          <w:b/>
          <w:bCs/>
          <w:color w:val="auto"/>
          <w:sz w:val="22"/>
          <w:szCs w:val="22"/>
          <w:u w:val="single"/>
        </w:rPr>
        <w:t>15. listopadu</w:t>
      </w:r>
      <w:r w:rsidR="00316759">
        <w:rPr>
          <w:rFonts w:ascii="Arial" w:hAnsi="Arial" w:cs="Arial"/>
          <w:b/>
          <w:bCs/>
          <w:color w:val="auto"/>
          <w:sz w:val="22"/>
          <w:szCs w:val="22"/>
          <w:u w:val="single"/>
        </w:rPr>
        <w:t xml:space="preserve"> 2024</w:t>
      </w:r>
    </w:p>
    <w:p w14:paraId="249A571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500AF9D2" w14:textId="77777777" w:rsidR="009F2A46" w:rsidRDefault="009F2A46" w:rsidP="009F2A46">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w:t>
      </w:r>
      <w:r w:rsidR="00E3304C">
        <w:rPr>
          <w:rFonts w:ascii="Arial" w:hAnsi="Arial" w:cs="Arial"/>
          <w:color w:val="auto"/>
          <w:sz w:val="22"/>
          <w:szCs w:val="22"/>
        </w:rPr>
        <w:t>a</w:t>
      </w:r>
      <w:r>
        <w:rPr>
          <w:rFonts w:ascii="Arial" w:hAnsi="Arial" w:cs="Arial"/>
          <w:color w:val="auto"/>
          <w:sz w:val="22"/>
          <w:szCs w:val="22"/>
        </w:rPr>
        <w:t>dresu</w:t>
      </w:r>
      <w:proofErr w:type="gramEnd"/>
      <w:r>
        <w:rPr>
          <w:rFonts w:ascii="Arial" w:hAnsi="Arial" w:cs="Arial"/>
          <w:color w:val="auto"/>
          <w:sz w:val="22"/>
          <w:szCs w:val="22"/>
        </w:rPr>
        <w:t xml:space="preserve"> služebního úřadu </w:t>
      </w:r>
      <w:r>
        <w:rPr>
          <w:rFonts w:ascii="Arial" w:hAnsi="Arial" w:cs="Arial"/>
          <w:b/>
          <w:color w:val="auto"/>
          <w:sz w:val="22"/>
          <w:szCs w:val="22"/>
        </w:rPr>
        <w:t>Český báňský úřad, Kozí 4, 110 01 Praha 1</w:t>
      </w:r>
      <w:r>
        <w:rPr>
          <w:rFonts w:ascii="Arial" w:hAnsi="Arial" w:cs="Arial"/>
          <w:color w:val="auto"/>
          <w:sz w:val="22"/>
          <w:szCs w:val="22"/>
        </w:rPr>
        <w:t xml:space="preserve">, </w:t>
      </w:r>
    </w:p>
    <w:p w14:paraId="501ED48A" w14:textId="77777777" w:rsidR="009F2A46" w:rsidRDefault="009F2A46" w:rsidP="009F2A46">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49CC9783" w14:textId="4E4EC944" w:rsidR="009F2A46" w:rsidRDefault="009F2A46" w:rsidP="009F2A46">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podatelna@cbu</w:t>
      </w:r>
      <w:r w:rsidR="002E64F6">
        <w:rPr>
          <w:rFonts w:ascii="Arial" w:hAnsi="Arial" w:cs="Arial"/>
          <w:b/>
          <w:bCs/>
          <w:color w:val="auto"/>
          <w:sz w:val="22"/>
          <w:szCs w:val="22"/>
        </w:rPr>
        <w:t>.gov</w:t>
      </w:r>
      <w:r>
        <w:rPr>
          <w:rFonts w:ascii="Arial" w:hAnsi="Arial" w:cs="Arial"/>
          <w:b/>
          <w:bCs/>
          <w:color w:val="auto"/>
          <w:sz w:val="22"/>
          <w:szCs w:val="22"/>
        </w:rPr>
        <w:t xml:space="preserve">.cz </w:t>
      </w:r>
      <w:r>
        <w:rPr>
          <w:rFonts w:ascii="Arial" w:hAnsi="Arial" w:cs="Arial"/>
          <w:color w:val="auto"/>
          <w:sz w:val="22"/>
          <w:szCs w:val="22"/>
        </w:rPr>
        <w:t xml:space="preserve">nebo </w:t>
      </w:r>
    </w:p>
    <w:p w14:paraId="48DD4D36" w14:textId="77777777" w:rsidR="009F2A46" w:rsidRDefault="009F2A46" w:rsidP="009F2A46">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CE7FB8A" w14:textId="77777777" w:rsidR="009F2A46" w:rsidRDefault="009F2A46" w:rsidP="009F2A46">
      <w:pPr>
        <w:pStyle w:val="Default"/>
        <w:spacing w:line="360" w:lineRule="auto"/>
        <w:jc w:val="both"/>
        <w:rPr>
          <w:rFonts w:ascii="Arial" w:hAnsi="Arial" w:cs="Arial"/>
          <w:color w:val="auto"/>
          <w:sz w:val="22"/>
          <w:szCs w:val="22"/>
        </w:rPr>
      </w:pPr>
    </w:p>
    <w:p w14:paraId="1AA9BEB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w:t>
      </w:r>
      <w:r>
        <w:rPr>
          <w:rFonts w:ascii="Arial" w:hAnsi="Arial" w:cs="Arial"/>
          <w:b/>
          <w:bCs/>
          <w:sz w:val="22"/>
          <w:szCs w:val="22"/>
        </w:rPr>
        <w:lastRenderedPageBreak/>
        <w:t>inspektora/</w:t>
      </w:r>
      <w:r w:rsidR="00EA3582">
        <w:rPr>
          <w:rFonts w:ascii="Arial" w:hAnsi="Arial" w:cs="Arial"/>
          <w:b/>
          <w:bCs/>
          <w:sz w:val="22"/>
          <w:szCs w:val="22"/>
        </w:rPr>
        <w:t xml:space="preserve"> </w:t>
      </w:r>
      <w:r>
        <w:rPr>
          <w:rFonts w:ascii="Arial" w:hAnsi="Arial" w:cs="Arial"/>
          <w:b/>
          <w:bCs/>
          <w:sz w:val="22"/>
          <w:szCs w:val="22"/>
        </w:rPr>
        <w:t xml:space="preserve">obvodní báňské inspektorky </w:t>
      </w:r>
      <w:r>
        <w:rPr>
          <w:rFonts w:ascii="Arial" w:hAnsi="Arial" w:cs="Arial"/>
          <w:sz w:val="22"/>
          <w:szCs w:val="22"/>
        </w:rPr>
        <w:t>Obvodního báňského úřadu pro území Hlavního města Prahy a kraje Středočeského</w:t>
      </w:r>
      <w:r>
        <w:rPr>
          <w:rFonts w:ascii="Arial" w:hAnsi="Arial" w:cs="Arial"/>
          <w:color w:val="auto"/>
          <w:sz w:val="22"/>
          <w:szCs w:val="22"/>
        </w:rPr>
        <w:t xml:space="preserve">“. </w:t>
      </w:r>
    </w:p>
    <w:p w14:paraId="7D0552F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504C65DB" w14:textId="77777777" w:rsidR="009F2A46" w:rsidRDefault="009F2A46" w:rsidP="009F2A46">
      <w:pPr>
        <w:pStyle w:val="Default"/>
        <w:spacing w:line="360" w:lineRule="auto"/>
        <w:jc w:val="both"/>
        <w:rPr>
          <w:rFonts w:ascii="Arial" w:hAnsi="Arial" w:cs="Arial"/>
          <w:color w:val="auto"/>
          <w:sz w:val="22"/>
          <w:szCs w:val="22"/>
        </w:rPr>
      </w:pPr>
    </w:p>
    <w:p w14:paraId="1DEC6F4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1275E624"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500AA368"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432BACB1" w14:textId="77777777" w:rsidR="009F2A46" w:rsidRDefault="009F2A46" w:rsidP="009F2A46">
      <w:pPr>
        <w:spacing w:after="0" w:line="360" w:lineRule="auto"/>
        <w:ind w:left="284"/>
        <w:jc w:val="both"/>
        <w:rPr>
          <w:rFonts w:ascii="Arial" w:hAnsi="Arial" w:cs="Arial"/>
          <w:b/>
        </w:rPr>
      </w:pPr>
    </w:p>
    <w:p w14:paraId="7D8CC8F4"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1D0643DC"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14661548" w14:textId="77777777" w:rsidR="009F2A46" w:rsidRDefault="009F2A46" w:rsidP="009F2A46">
      <w:pPr>
        <w:spacing w:after="120" w:line="360" w:lineRule="auto"/>
        <w:ind w:left="567"/>
        <w:jc w:val="both"/>
        <w:rPr>
          <w:rFonts w:ascii="Arial" w:hAnsi="Arial" w:cs="Arial"/>
        </w:rPr>
      </w:pPr>
      <w:r>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14:paraId="2B4B3423" w14:textId="77777777" w:rsidR="009F2A46" w:rsidRDefault="009F2A46" w:rsidP="009F2A46">
      <w:pPr>
        <w:numPr>
          <w:ilvl w:val="0"/>
          <w:numId w:val="20"/>
        </w:numPr>
        <w:spacing w:after="120" w:line="360" w:lineRule="auto"/>
        <w:ind w:left="568" w:hanging="284"/>
        <w:jc w:val="both"/>
        <w:rPr>
          <w:rFonts w:ascii="Arial" w:hAnsi="Arial" w:cs="Arial"/>
        </w:rPr>
      </w:pPr>
      <w:r>
        <w:rPr>
          <w:rFonts w:ascii="Arial" w:hAnsi="Arial" w:cs="Arial"/>
          <w:b/>
        </w:rPr>
        <w:t>dosáhl věku 18 let;</w:t>
      </w:r>
    </w:p>
    <w:p w14:paraId="7F1BF967"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F3BEAB0"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8A74EF5"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758CF1EE" w14:textId="77777777" w:rsidR="009F2A46" w:rsidRDefault="009F2A46" w:rsidP="009F2A46">
      <w:pPr>
        <w:spacing w:after="0" w:line="360" w:lineRule="auto"/>
        <w:ind w:left="567"/>
        <w:jc w:val="both"/>
        <w:rPr>
          <w:rFonts w:ascii="Arial" w:hAnsi="Arial" w:cs="Arial"/>
        </w:rPr>
      </w:pPr>
      <w:r>
        <w:rPr>
          <w:rFonts w:ascii="Arial" w:hAnsi="Arial" w:cs="Arial"/>
        </w:rPr>
        <w:t xml:space="preserve">Splnění tohoto předpokladu se podle § 26 odst. 1 věta druhá zákona dokládá výpisem z evidence Rejstříku trestů, který nesmí být starší než 3 měsíce. Pokud žadatel do žádosti </w:t>
      </w:r>
      <w:r>
        <w:rPr>
          <w:rFonts w:ascii="Arial" w:hAnsi="Arial" w:cs="Arial"/>
        </w:rPr>
        <w:lastRenderedPageBreak/>
        <w:t>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3B2A2B00"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5BC07C6F"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2729B93"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01C70370" w14:textId="77777777" w:rsidR="009F2A46" w:rsidRDefault="009F2A46" w:rsidP="009F2A46">
      <w:pPr>
        <w:pStyle w:val="Odstavecseseznamem"/>
        <w:widowControl w:val="0"/>
        <w:numPr>
          <w:ilvl w:val="0"/>
          <w:numId w:val="20"/>
        </w:numPr>
        <w:spacing w:before="120" w:after="0" w:line="360" w:lineRule="auto"/>
        <w:ind w:left="567"/>
        <w:jc w:val="both"/>
        <w:rPr>
          <w:rFonts w:ascii="Arial" w:hAnsi="Arial" w:cs="Arial"/>
          <w:bCs/>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podle § 25 odst. 1 písm. e) zákona, tj.</w:t>
      </w:r>
      <w:r>
        <w:rPr>
          <w:rFonts w:ascii="Arial" w:hAnsi="Arial" w:cs="Arial"/>
        </w:rPr>
        <w:t xml:space="preserve"> </w:t>
      </w:r>
      <w:r>
        <w:rPr>
          <w:rFonts w:ascii="Arial" w:hAnsi="Arial" w:cs="Arial"/>
          <w:bCs/>
        </w:rPr>
        <w:t>vysokoškolské vzdělání v bakalářském nebo magisterském studijním</w:t>
      </w:r>
      <w:r w:rsidR="00316759">
        <w:rPr>
          <w:rFonts w:ascii="Arial" w:hAnsi="Arial" w:cs="Arial"/>
          <w:bCs/>
        </w:rPr>
        <w:t xml:space="preserve"> programu</w:t>
      </w:r>
      <w:r>
        <w:rPr>
          <w:rFonts w:ascii="Arial" w:hAnsi="Arial" w:cs="Arial"/>
          <w:bCs/>
        </w:rPr>
        <w:t>.</w:t>
      </w:r>
    </w:p>
    <w:p w14:paraId="4ADB9989" w14:textId="77777777" w:rsidR="009F2A46" w:rsidRDefault="009F2A46" w:rsidP="009F2A46">
      <w:pPr>
        <w:pStyle w:val="Odstavecseseznamem"/>
        <w:widowControl w:val="0"/>
        <w:spacing w:before="120" w:after="0" w:line="360" w:lineRule="auto"/>
        <w:ind w:left="567"/>
        <w:jc w:val="both"/>
        <w:rPr>
          <w:rFonts w:ascii="Arial" w:hAnsi="Arial" w:cs="Arial"/>
        </w:rPr>
      </w:pPr>
    </w:p>
    <w:p w14:paraId="659DEFEF" w14:textId="77777777"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770A8DD8" w14:textId="77777777"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w:t>
      </w:r>
      <w:r w:rsidR="00316759">
        <w:rPr>
          <w:rFonts w:ascii="Arial" w:hAnsi="Arial" w:cs="Arial"/>
        </w:rPr>
        <w:t>rostředně před konáním pohovoru.</w:t>
      </w:r>
    </w:p>
    <w:p w14:paraId="6AF0987E" w14:textId="77777777" w:rsidR="00316759" w:rsidRDefault="00316759" w:rsidP="009F2A46">
      <w:pPr>
        <w:spacing w:after="240" w:line="360" w:lineRule="auto"/>
        <w:ind w:left="567"/>
        <w:jc w:val="both"/>
        <w:rPr>
          <w:rFonts w:ascii="Arial" w:hAnsi="Arial" w:cs="Arial"/>
        </w:rPr>
      </w:pPr>
    </w:p>
    <w:p w14:paraId="2B1711E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F15EB8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76F9B7D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650EA17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D558E39" w14:textId="77777777" w:rsidR="0056384A" w:rsidRDefault="0056384A" w:rsidP="009F2A46">
      <w:pPr>
        <w:pStyle w:val="Default"/>
        <w:spacing w:line="360" w:lineRule="auto"/>
        <w:jc w:val="both"/>
        <w:rPr>
          <w:rFonts w:ascii="Arial" w:hAnsi="Arial" w:cs="Arial"/>
          <w:color w:val="auto"/>
          <w:sz w:val="22"/>
          <w:szCs w:val="22"/>
        </w:rPr>
      </w:pPr>
    </w:p>
    <w:p w14:paraId="563E16CB" w14:textId="77777777" w:rsidR="0056384A" w:rsidRDefault="0056384A" w:rsidP="009F2A46">
      <w:pPr>
        <w:pStyle w:val="Default"/>
        <w:spacing w:line="360" w:lineRule="auto"/>
        <w:jc w:val="both"/>
        <w:rPr>
          <w:rFonts w:ascii="Arial" w:hAnsi="Arial" w:cs="Arial"/>
          <w:color w:val="auto"/>
          <w:sz w:val="22"/>
          <w:szCs w:val="22"/>
        </w:rPr>
      </w:pPr>
    </w:p>
    <w:p w14:paraId="26FD4D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5E9D919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5DE69C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319591A" w14:textId="2A3E575E"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2E64F6" w:rsidRPr="00FD6A23">
          <w:rPr>
            <w:rStyle w:val="Hypertextovodkaz"/>
            <w:rFonts w:ascii="Arial" w:hAnsi="Arial" w:cs="Arial"/>
            <w:sz w:val="22"/>
            <w:szCs w:val="22"/>
          </w:rPr>
          <w:t>http://cbu.gov.cz</w:t>
        </w:r>
      </w:hyperlink>
      <w:r w:rsidR="009F2A46">
        <w:rPr>
          <w:rFonts w:ascii="Arial" w:hAnsi="Arial" w:cs="Arial"/>
          <w:color w:val="auto"/>
          <w:sz w:val="22"/>
          <w:szCs w:val="22"/>
        </w:rPr>
        <w:t xml:space="preserve"> .</w:t>
      </w:r>
    </w:p>
    <w:p w14:paraId="2E7C405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6FBD3A38" w14:textId="77777777" w:rsidR="009F2A46" w:rsidRDefault="009F2A46" w:rsidP="009F2A46">
      <w:pPr>
        <w:pStyle w:val="Default"/>
        <w:spacing w:line="360" w:lineRule="auto"/>
        <w:jc w:val="both"/>
        <w:rPr>
          <w:rFonts w:ascii="Arial" w:hAnsi="Arial" w:cs="Arial"/>
          <w:color w:val="auto"/>
          <w:sz w:val="22"/>
          <w:szCs w:val="22"/>
        </w:rPr>
      </w:pPr>
    </w:p>
    <w:p w14:paraId="496F76C5" w14:textId="77777777" w:rsidR="009F2A46" w:rsidRDefault="009F2A46" w:rsidP="009F2A46">
      <w:pPr>
        <w:pStyle w:val="Default"/>
        <w:spacing w:line="360" w:lineRule="auto"/>
        <w:jc w:val="both"/>
        <w:rPr>
          <w:rFonts w:ascii="Arial" w:hAnsi="Arial" w:cs="Arial"/>
          <w:color w:val="auto"/>
          <w:sz w:val="22"/>
          <w:szCs w:val="22"/>
        </w:rPr>
      </w:pPr>
    </w:p>
    <w:p w14:paraId="542C4A4B" w14:textId="77777777" w:rsidR="009F2A46" w:rsidRDefault="009F2A46" w:rsidP="009F2A46">
      <w:pPr>
        <w:pStyle w:val="Default"/>
        <w:spacing w:line="360" w:lineRule="auto"/>
        <w:jc w:val="both"/>
        <w:rPr>
          <w:rFonts w:ascii="Arial" w:hAnsi="Arial" w:cs="Arial"/>
          <w:color w:val="auto"/>
          <w:sz w:val="22"/>
          <w:szCs w:val="22"/>
        </w:rPr>
      </w:pPr>
    </w:p>
    <w:p w14:paraId="422AFA3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5CDB0BA" w14:textId="4255EC90"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2E64F6">
        <w:rPr>
          <w:rFonts w:ascii="Arial" w:hAnsi="Arial" w:cs="Arial"/>
          <w:color w:val="auto"/>
          <w:sz w:val="22"/>
          <w:szCs w:val="22"/>
        </w:rPr>
        <w:t xml:space="preserve"> </w:t>
      </w:r>
      <w:r w:rsidR="00107717">
        <w:rPr>
          <w:rFonts w:ascii="Arial" w:hAnsi="Arial" w:cs="Arial"/>
          <w:color w:val="auto"/>
          <w:sz w:val="22"/>
          <w:szCs w:val="22"/>
        </w:rPr>
        <w:t xml:space="preserve"> </w:t>
      </w:r>
      <w:r>
        <w:rPr>
          <w:rFonts w:ascii="Arial" w:hAnsi="Arial" w:cs="Arial"/>
          <w:b/>
          <w:color w:val="auto"/>
          <w:sz w:val="22"/>
          <w:szCs w:val="22"/>
        </w:rPr>
        <w:t>Ing. Martin ŠTEMBERKA, Ph.D</w:t>
      </w:r>
      <w:r w:rsidR="00C26752">
        <w:rPr>
          <w:rFonts w:ascii="Arial" w:hAnsi="Arial" w:cs="Arial"/>
          <w:b/>
          <w:color w:val="auto"/>
          <w:sz w:val="22"/>
          <w:szCs w:val="22"/>
        </w:rPr>
        <w:t>.</w:t>
      </w:r>
      <w:r w:rsidR="002A6C81">
        <w:rPr>
          <w:rFonts w:ascii="Arial" w:hAnsi="Arial" w:cs="Arial"/>
          <w:b/>
          <w:color w:val="auto"/>
          <w:sz w:val="22"/>
          <w:szCs w:val="22"/>
        </w:rPr>
        <w:t>, v. r.</w:t>
      </w:r>
    </w:p>
    <w:p w14:paraId="3F019182" w14:textId="7777777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3A37FC12" w14:textId="77777777" w:rsidR="009F2A46" w:rsidRDefault="009F2A46" w:rsidP="009F2A46">
      <w:pPr>
        <w:pStyle w:val="Default"/>
        <w:spacing w:line="276" w:lineRule="auto"/>
        <w:jc w:val="both"/>
        <w:rPr>
          <w:rFonts w:ascii="Arial" w:hAnsi="Arial" w:cs="Arial"/>
          <w:color w:val="auto"/>
          <w:sz w:val="22"/>
          <w:szCs w:val="22"/>
        </w:rPr>
      </w:pPr>
    </w:p>
    <w:p w14:paraId="10CE2232" w14:textId="77777777" w:rsidR="009F2A46" w:rsidRDefault="009F2A46" w:rsidP="009F2A46">
      <w:pPr>
        <w:pStyle w:val="Default"/>
        <w:spacing w:line="276" w:lineRule="auto"/>
        <w:jc w:val="both"/>
        <w:rPr>
          <w:rFonts w:ascii="Arial" w:hAnsi="Arial" w:cs="Arial"/>
          <w:color w:val="auto"/>
          <w:sz w:val="22"/>
          <w:szCs w:val="22"/>
        </w:rPr>
      </w:pPr>
    </w:p>
    <w:p w14:paraId="4F02A1F8" w14:textId="77777777" w:rsidR="009F2A46" w:rsidRDefault="009F2A46" w:rsidP="009F2A46">
      <w:pPr>
        <w:pStyle w:val="Default"/>
        <w:spacing w:line="276" w:lineRule="auto"/>
        <w:jc w:val="both"/>
        <w:rPr>
          <w:rFonts w:ascii="Arial" w:hAnsi="Arial" w:cs="Arial"/>
          <w:color w:val="auto"/>
          <w:sz w:val="22"/>
          <w:szCs w:val="22"/>
        </w:rPr>
      </w:pPr>
    </w:p>
    <w:p w14:paraId="330C7DB6" w14:textId="77777777"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013F8810" w14:textId="77777777" w:rsidR="009F2A46" w:rsidRDefault="009F2A46" w:rsidP="009F2A46">
      <w:pPr>
        <w:pStyle w:val="Default"/>
        <w:spacing w:line="276" w:lineRule="auto"/>
        <w:jc w:val="both"/>
        <w:rPr>
          <w:rFonts w:ascii="Arial" w:hAnsi="Arial" w:cs="Arial"/>
          <w:b/>
          <w:bCs/>
          <w:color w:val="auto"/>
          <w:sz w:val="22"/>
          <w:szCs w:val="22"/>
        </w:rPr>
      </w:pPr>
    </w:p>
    <w:p w14:paraId="7D53723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0551FF8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35C5999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78A1253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591EA5F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07D305D3"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787E8D">
      <w:footerReference w:type="default" r:id="rId12"/>
      <w:pgSz w:w="11906" w:h="16838"/>
      <w:pgMar w:top="1418" w:right="1133" w:bottom="851" w:left="1276" w:header="708" w:footer="8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6324" w14:textId="77777777" w:rsidR="00796B7C" w:rsidRDefault="00796B7C" w:rsidP="00276ED4">
      <w:pPr>
        <w:spacing w:after="0" w:line="240" w:lineRule="auto"/>
      </w:pPr>
      <w:r>
        <w:separator/>
      </w:r>
    </w:p>
  </w:endnote>
  <w:endnote w:type="continuationSeparator" w:id="0">
    <w:p w14:paraId="4F96E882" w14:textId="77777777" w:rsidR="00796B7C" w:rsidRDefault="00796B7C"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563653"/>
      <w:docPartObj>
        <w:docPartGallery w:val="Page Numbers (Bottom of Page)"/>
        <w:docPartUnique/>
      </w:docPartObj>
    </w:sdtPr>
    <w:sdtEndPr/>
    <w:sdtContent>
      <w:p w14:paraId="7D4F365F" w14:textId="77777777" w:rsidR="00787E8D" w:rsidRDefault="00787E8D">
        <w:pPr>
          <w:pStyle w:val="Zpat"/>
          <w:jc w:val="center"/>
        </w:pPr>
      </w:p>
      <w:p w14:paraId="62E5E3DA" w14:textId="77777777" w:rsidR="00E5330C" w:rsidRDefault="00EA2B2D">
        <w:pPr>
          <w:pStyle w:val="Zpat"/>
          <w:jc w:val="center"/>
        </w:pPr>
        <w:r>
          <w:fldChar w:fldCharType="begin"/>
        </w:r>
        <w:r w:rsidR="000D024F">
          <w:instrText xml:space="preserve"> PAGE   \* MERGEFORMAT </w:instrText>
        </w:r>
        <w:r>
          <w:fldChar w:fldCharType="separate"/>
        </w:r>
        <w:r w:rsidR="00A54B9E">
          <w:rPr>
            <w:noProof/>
          </w:rPr>
          <w:t>7</w:t>
        </w:r>
        <w:r>
          <w:rPr>
            <w:noProof/>
          </w:rPr>
          <w:fldChar w:fldCharType="end"/>
        </w:r>
      </w:p>
    </w:sdtContent>
  </w:sdt>
  <w:p w14:paraId="28632074"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9B7D" w14:textId="77777777" w:rsidR="00796B7C" w:rsidRDefault="00796B7C" w:rsidP="00276ED4">
      <w:pPr>
        <w:spacing w:after="0" w:line="240" w:lineRule="auto"/>
      </w:pPr>
      <w:r>
        <w:separator/>
      </w:r>
    </w:p>
  </w:footnote>
  <w:footnote w:type="continuationSeparator" w:id="0">
    <w:p w14:paraId="73E9C5B7" w14:textId="77777777" w:rsidR="00796B7C" w:rsidRDefault="00796B7C" w:rsidP="00276ED4">
      <w:pPr>
        <w:spacing w:after="0" w:line="240" w:lineRule="auto"/>
      </w:pPr>
      <w:r>
        <w:continuationSeparator/>
      </w:r>
    </w:p>
  </w:footnote>
  <w:footnote w:id="1">
    <w:p w14:paraId="5F4E7265"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5F876E3F"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699D53C1"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3A31064"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31B8C124"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2418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758448">
    <w:abstractNumId w:val="16"/>
    <w:lvlOverride w:ilvl="0">
      <w:startOverride w:val="1"/>
    </w:lvlOverride>
    <w:lvlOverride w:ilvl="1"/>
    <w:lvlOverride w:ilvl="2"/>
    <w:lvlOverride w:ilvl="3"/>
    <w:lvlOverride w:ilvl="4"/>
    <w:lvlOverride w:ilvl="5"/>
    <w:lvlOverride w:ilvl="6"/>
    <w:lvlOverride w:ilvl="7"/>
    <w:lvlOverride w:ilvl="8"/>
  </w:num>
  <w:num w:numId="3" w16cid:durableId="1268082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817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37706">
    <w:abstractNumId w:val="1"/>
  </w:num>
  <w:num w:numId="6" w16cid:durableId="961037121">
    <w:abstractNumId w:val="13"/>
    <w:lvlOverride w:ilvl="0">
      <w:startOverride w:val="1"/>
    </w:lvlOverride>
    <w:lvlOverride w:ilvl="1"/>
    <w:lvlOverride w:ilvl="2"/>
    <w:lvlOverride w:ilvl="3"/>
    <w:lvlOverride w:ilvl="4"/>
    <w:lvlOverride w:ilvl="5"/>
    <w:lvlOverride w:ilvl="6"/>
    <w:lvlOverride w:ilvl="7"/>
    <w:lvlOverride w:ilvl="8"/>
  </w:num>
  <w:num w:numId="7" w16cid:durableId="1915581497">
    <w:abstractNumId w:val="5"/>
  </w:num>
  <w:num w:numId="8" w16cid:durableId="1406145532">
    <w:abstractNumId w:val="16"/>
  </w:num>
  <w:num w:numId="9" w16cid:durableId="484930148">
    <w:abstractNumId w:val="3"/>
  </w:num>
  <w:num w:numId="10" w16cid:durableId="1607152415">
    <w:abstractNumId w:val="9"/>
  </w:num>
  <w:num w:numId="11" w16cid:durableId="1423186277">
    <w:abstractNumId w:val="11"/>
  </w:num>
  <w:num w:numId="12" w16cid:durableId="392199714">
    <w:abstractNumId w:val="2"/>
  </w:num>
  <w:num w:numId="13" w16cid:durableId="1902326652">
    <w:abstractNumId w:val="17"/>
  </w:num>
  <w:num w:numId="14" w16cid:durableId="584997767">
    <w:abstractNumId w:val="15"/>
  </w:num>
  <w:num w:numId="15" w16cid:durableId="1110590193">
    <w:abstractNumId w:val="12"/>
  </w:num>
  <w:num w:numId="16" w16cid:durableId="1834104607">
    <w:abstractNumId w:val="18"/>
  </w:num>
  <w:num w:numId="17" w16cid:durableId="465440669">
    <w:abstractNumId w:val="7"/>
  </w:num>
  <w:num w:numId="18" w16cid:durableId="172035740">
    <w:abstractNumId w:val="0"/>
  </w:num>
  <w:num w:numId="19" w16cid:durableId="1273249453">
    <w:abstractNumId w:val="14"/>
  </w:num>
  <w:num w:numId="20" w16cid:durableId="873811664">
    <w:abstractNumId w:val="16"/>
    <w:lvlOverride w:ilvl="0">
      <w:startOverride w:val="1"/>
    </w:lvlOverride>
    <w:lvlOverride w:ilvl="1"/>
    <w:lvlOverride w:ilvl="2"/>
    <w:lvlOverride w:ilvl="3"/>
    <w:lvlOverride w:ilvl="4"/>
    <w:lvlOverride w:ilvl="5"/>
    <w:lvlOverride w:ilvl="6"/>
    <w:lvlOverride w:ilvl="7"/>
    <w:lvlOverride w:ilvl="8"/>
  </w:num>
  <w:num w:numId="21" w16cid:durableId="1222867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3121"/>
    <w:rsid w:val="00014FA8"/>
    <w:rsid w:val="00022684"/>
    <w:rsid w:val="00025B9F"/>
    <w:rsid w:val="00033B44"/>
    <w:rsid w:val="00037933"/>
    <w:rsid w:val="000429D0"/>
    <w:rsid w:val="000500AF"/>
    <w:rsid w:val="000555D2"/>
    <w:rsid w:val="00073FE5"/>
    <w:rsid w:val="000756E2"/>
    <w:rsid w:val="00083DDE"/>
    <w:rsid w:val="0008409A"/>
    <w:rsid w:val="00084FFE"/>
    <w:rsid w:val="00085A0B"/>
    <w:rsid w:val="00085EEC"/>
    <w:rsid w:val="00097C57"/>
    <w:rsid w:val="000A7AE4"/>
    <w:rsid w:val="000B662E"/>
    <w:rsid w:val="000C26A7"/>
    <w:rsid w:val="000D024F"/>
    <w:rsid w:val="000D1584"/>
    <w:rsid w:val="000D4259"/>
    <w:rsid w:val="000D7BAC"/>
    <w:rsid w:val="000E169A"/>
    <w:rsid w:val="000F090D"/>
    <w:rsid w:val="000F2D84"/>
    <w:rsid w:val="000F3383"/>
    <w:rsid w:val="000F659A"/>
    <w:rsid w:val="00101366"/>
    <w:rsid w:val="001027C7"/>
    <w:rsid w:val="00107717"/>
    <w:rsid w:val="00113F38"/>
    <w:rsid w:val="00117753"/>
    <w:rsid w:val="00120BC1"/>
    <w:rsid w:val="00122B88"/>
    <w:rsid w:val="0013110B"/>
    <w:rsid w:val="00140816"/>
    <w:rsid w:val="00150A15"/>
    <w:rsid w:val="00153A84"/>
    <w:rsid w:val="001560CB"/>
    <w:rsid w:val="00164F7E"/>
    <w:rsid w:val="00172E77"/>
    <w:rsid w:val="0017389E"/>
    <w:rsid w:val="00181D2E"/>
    <w:rsid w:val="00183CAD"/>
    <w:rsid w:val="00186215"/>
    <w:rsid w:val="0019519F"/>
    <w:rsid w:val="001A029A"/>
    <w:rsid w:val="001A2048"/>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35F7C"/>
    <w:rsid w:val="00240188"/>
    <w:rsid w:val="002545A6"/>
    <w:rsid w:val="00264015"/>
    <w:rsid w:val="00266C85"/>
    <w:rsid w:val="00272336"/>
    <w:rsid w:val="00276ED4"/>
    <w:rsid w:val="00281F39"/>
    <w:rsid w:val="0028296F"/>
    <w:rsid w:val="002843E1"/>
    <w:rsid w:val="002A68F8"/>
    <w:rsid w:val="002A6C81"/>
    <w:rsid w:val="002B1B25"/>
    <w:rsid w:val="002C7963"/>
    <w:rsid w:val="002D1046"/>
    <w:rsid w:val="002D557D"/>
    <w:rsid w:val="002E2A92"/>
    <w:rsid w:val="002E64F6"/>
    <w:rsid w:val="002F5BC8"/>
    <w:rsid w:val="002F75D4"/>
    <w:rsid w:val="00301399"/>
    <w:rsid w:val="0030591A"/>
    <w:rsid w:val="00306D10"/>
    <w:rsid w:val="00314A8F"/>
    <w:rsid w:val="00316759"/>
    <w:rsid w:val="003173E9"/>
    <w:rsid w:val="00325D04"/>
    <w:rsid w:val="00333CD8"/>
    <w:rsid w:val="0033667A"/>
    <w:rsid w:val="00340D84"/>
    <w:rsid w:val="00345C98"/>
    <w:rsid w:val="00345E5A"/>
    <w:rsid w:val="00351854"/>
    <w:rsid w:val="00363007"/>
    <w:rsid w:val="00364BA5"/>
    <w:rsid w:val="0036528D"/>
    <w:rsid w:val="003744ED"/>
    <w:rsid w:val="00376642"/>
    <w:rsid w:val="00377193"/>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4079F1"/>
    <w:rsid w:val="00411178"/>
    <w:rsid w:val="00421CFA"/>
    <w:rsid w:val="004241D8"/>
    <w:rsid w:val="0043623A"/>
    <w:rsid w:val="004369A1"/>
    <w:rsid w:val="0044040E"/>
    <w:rsid w:val="00443BFB"/>
    <w:rsid w:val="0044685E"/>
    <w:rsid w:val="00450A04"/>
    <w:rsid w:val="00451C10"/>
    <w:rsid w:val="00464FAD"/>
    <w:rsid w:val="00467859"/>
    <w:rsid w:val="00474B1F"/>
    <w:rsid w:val="00483EF2"/>
    <w:rsid w:val="00484470"/>
    <w:rsid w:val="00493055"/>
    <w:rsid w:val="004A7143"/>
    <w:rsid w:val="004B01A5"/>
    <w:rsid w:val="004B0E66"/>
    <w:rsid w:val="004B4AA0"/>
    <w:rsid w:val="004B7FE2"/>
    <w:rsid w:val="004C4975"/>
    <w:rsid w:val="004C7DDA"/>
    <w:rsid w:val="004D660F"/>
    <w:rsid w:val="004E6E7D"/>
    <w:rsid w:val="004F53D5"/>
    <w:rsid w:val="004F670A"/>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251B"/>
    <w:rsid w:val="005636A6"/>
    <w:rsid w:val="0056384A"/>
    <w:rsid w:val="0056406C"/>
    <w:rsid w:val="00564730"/>
    <w:rsid w:val="00570091"/>
    <w:rsid w:val="00572C1E"/>
    <w:rsid w:val="00574953"/>
    <w:rsid w:val="005847EB"/>
    <w:rsid w:val="00586C15"/>
    <w:rsid w:val="005905D9"/>
    <w:rsid w:val="005907EC"/>
    <w:rsid w:val="00595039"/>
    <w:rsid w:val="005A0109"/>
    <w:rsid w:val="005B77EF"/>
    <w:rsid w:val="005D230C"/>
    <w:rsid w:val="005E740B"/>
    <w:rsid w:val="005F66BA"/>
    <w:rsid w:val="006060F0"/>
    <w:rsid w:val="0061104A"/>
    <w:rsid w:val="00612B93"/>
    <w:rsid w:val="006179E4"/>
    <w:rsid w:val="00623A84"/>
    <w:rsid w:val="006252A7"/>
    <w:rsid w:val="00630F62"/>
    <w:rsid w:val="006312C8"/>
    <w:rsid w:val="0063281D"/>
    <w:rsid w:val="00644466"/>
    <w:rsid w:val="0064757D"/>
    <w:rsid w:val="00655286"/>
    <w:rsid w:val="00665A1A"/>
    <w:rsid w:val="00666261"/>
    <w:rsid w:val="00673846"/>
    <w:rsid w:val="00686CC0"/>
    <w:rsid w:val="00692E86"/>
    <w:rsid w:val="0069508B"/>
    <w:rsid w:val="006A31B6"/>
    <w:rsid w:val="006B2566"/>
    <w:rsid w:val="006B7212"/>
    <w:rsid w:val="006C0412"/>
    <w:rsid w:val="006C220B"/>
    <w:rsid w:val="006C2B6F"/>
    <w:rsid w:val="006C6A2B"/>
    <w:rsid w:val="006C7AEF"/>
    <w:rsid w:val="006D0359"/>
    <w:rsid w:val="006E69E0"/>
    <w:rsid w:val="006F3799"/>
    <w:rsid w:val="006F436F"/>
    <w:rsid w:val="00702AD9"/>
    <w:rsid w:val="007032E8"/>
    <w:rsid w:val="00704EFE"/>
    <w:rsid w:val="00704FB7"/>
    <w:rsid w:val="007253E5"/>
    <w:rsid w:val="00726ACB"/>
    <w:rsid w:val="007364CA"/>
    <w:rsid w:val="00742F41"/>
    <w:rsid w:val="0074498C"/>
    <w:rsid w:val="00746F23"/>
    <w:rsid w:val="00752317"/>
    <w:rsid w:val="007525D0"/>
    <w:rsid w:val="007563A0"/>
    <w:rsid w:val="00756FAE"/>
    <w:rsid w:val="00757115"/>
    <w:rsid w:val="00761DC1"/>
    <w:rsid w:val="00764813"/>
    <w:rsid w:val="00776C51"/>
    <w:rsid w:val="00787C08"/>
    <w:rsid w:val="00787E8D"/>
    <w:rsid w:val="00796B7C"/>
    <w:rsid w:val="007A294E"/>
    <w:rsid w:val="007B1C5B"/>
    <w:rsid w:val="007B7465"/>
    <w:rsid w:val="007C132E"/>
    <w:rsid w:val="007D067F"/>
    <w:rsid w:val="007D2C6E"/>
    <w:rsid w:val="007D47F7"/>
    <w:rsid w:val="007E0071"/>
    <w:rsid w:val="007E4D9B"/>
    <w:rsid w:val="007E5A22"/>
    <w:rsid w:val="00802EC9"/>
    <w:rsid w:val="00816ADA"/>
    <w:rsid w:val="00817786"/>
    <w:rsid w:val="00820057"/>
    <w:rsid w:val="00821E2E"/>
    <w:rsid w:val="008247A9"/>
    <w:rsid w:val="00825CF8"/>
    <w:rsid w:val="00826DBA"/>
    <w:rsid w:val="008278D5"/>
    <w:rsid w:val="0083712A"/>
    <w:rsid w:val="00840075"/>
    <w:rsid w:val="00843341"/>
    <w:rsid w:val="008449C2"/>
    <w:rsid w:val="00854F96"/>
    <w:rsid w:val="008557D5"/>
    <w:rsid w:val="00855D50"/>
    <w:rsid w:val="008566F9"/>
    <w:rsid w:val="00857D3D"/>
    <w:rsid w:val="00860D1A"/>
    <w:rsid w:val="00870C94"/>
    <w:rsid w:val="008757FA"/>
    <w:rsid w:val="00876F59"/>
    <w:rsid w:val="00882B47"/>
    <w:rsid w:val="00896467"/>
    <w:rsid w:val="008A6F7D"/>
    <w:rsid w:val="008B37AA"/>
    <w:rsid w:val="008E1F81"/>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71376"/>
    <w:rsid w:val="00972137"/>
    <w:rsid w:val="00982E4E"/>
    <w:rsid w:val="009A5381"/>
    <w:rsid w:val="009B2416"/>
    <w:rsid w:val="009B3A79"/>
    <w:rsid w:val="009C1DFD"/>
    <w:rsid w:val="009D4C86"/>
    <w:rsid w:val="009E5E2D"/>
    <w:rsid w:val="009F2A46"/>
    <w:rsid w:val="009F7B1A"/>
    <w:rsid w:val="00A0294A"/>
    <w:rsid w:val="00A15713"/>
    <w:rsid w:val="00A17DB7"/>
    <w:rsid w:val="00A202A7"/>
    <w:rsid w:val="00A21828"/>
    <w:rsid w:val="00A34D3B"/>
    <w:rsid w:val="00A35BFC"/>
    <w:rsid w:val="00A4582E"/>
    <w:rsid w:val="00A46568"/>
    <w:rsid w:val="00A54B9E"/>
    <w:rsid w:val="00A813A7"/>
    <w:rsid w:val="00A83D3E"/>
    <w:rsid w:val="00A8763A"/>
    <w:rsid w:val="00A93776"/>
    <w:rsid w:val="00A9772D"/>
    <w:rsid w:val="00AA0029"/>
    <w:rsid w:val="00AA4179"/>
    <w:rsid w:val="00AA58D7"/>
    <w:rsid w:val="00AA753A"/>
    <w:rsid w:val="00AC085E"/>
    <w:rsid w:val="00AC2A07"/>
    <w:rsid w:val="00AC5D85"/>
    <w:rsid w:val="00AC7603"/>
    <w:rsid w:val="00AD27F7"/>
    <w:rsid w:val="00AD7CD6"/>
    <w:rsid w:val="00AE0764"/>
    <w:rsid w:val="00AF40E2"/>
    <w:rsid w:val="00B0445F"/>
    <w:rsid w:val="00B06479"/>
    <w:rsid w:val="00B136CF"/>
    <w:rsid w:val="00B15A20"/>
    <w:rsid w:val="00B228A2"/>
    <w:rsid w:val="00B241DC"/>
    <w:rsid w:val="00B30E38"/>
    <w:rsid w:val="00B444C3"/>
    <w:rsid w:val="00B456E8"/>
    <w:rsid w:val="00B4602C"/>
    <w:rsid w:val="00B52AB0"/>
    <w:rsid w:val="00B73464"/>
    <w:rsid w:val="00B82039"/>
    <w:rsid w:val="00B8661E"/>
    <w:rsid w:val="00B905C8"/>
    <w:rsid w:val="00B9402E"/>
    <w:rsid w:val="00B95954"/>
    <w:rsid w:val="00BA2A89"/>
    <w:rsid w:val="00BB6FF7"/>
    <w:rsid w:val="00BE072A"/>
    <w:rsid w:val="00BE0997"/>
    <w:rsid w:val="00BE1630"/>
    <w:rsid w:val="00BE7603"/>
    <w:rsid w:val="00BF4021"/>
    <w:rsid w:val="00BF5A7D"/>
    <w:rsid w:val="00BF5E70"/>
    <w:rsid w:val="00C02122"/>
    <w:rsid w:val="00C0336F"/>
    <w:rsid w:val="00C0487A"/>
    <w:rsid w:val="00C11E99"/>
    <w:rsid w:val="00C128CF"/>
    <w:rsid w:val="00C16CDB"/>
    <w:rsid w:val="00C20FB1"/>
    <w:rsid w:val="00C213FA"/>
    <w:rsid w:val="00C248B1"/>
    <w:rsid w:val="00C26752"/>
    <w:rsid w:val="00C31A8E"/>
    <w:rsid w:val="00C32934"/>
    <w:rsid w:val="00C347F1"/>
    <w:rsid w:val="00C354F3"/>
    <w:rsid w:val="00C41EE0"/>
    <w:rsid w:val="00C5416A"/>
    <w:rsid w:val="00C57CC3"/>
    <w:rsid w:val="00C603F9"/>
    <w:rsid w:val="00C6621B"/>
    <w:rsid w:val="00C7720A"/>
    <w:rsid w:val="00C939F1"/>
    <w:rsid w:val="00C97C73"/>
    <w:rsid w:val="00CA41FB"/>
    <w:rsid w:val="00CB4D15"/>
    <w:rsid w:val="00CB6F58"/>
    <w:rsid w:val="00CB73E5"/>
    <w:rsid w:val="00CC45BD"/>
    <w:rsid w:val="00CD2E60"/>
    <w:rsid w:val="00CD7111"/>
    <w:rsid w:val="00CD7FA6"/>
    <w:rsid w:val="00CE280D"/>
    <w:rsid w:val="00CF262C"/>
    <w:rsid w:val="00CF3CCB"/>
    <w:rsid w:val="00D04A08"/>
    <w:rsid w:val="00D062F9"/>
    <w:rsid w:val="00D1336A"/>
    <w:rsid w:val="00D149AF"/>
    <w:rsid w:val="00D3526C"/>
    <w:rsid w:val="00D44A1A"/>
    <w:rsid w:val="00D44EC6"/>
    <w:rsid w:val="00D508E3"/>
    <w:rsid w:val="00D518EE"/>
    <w:rsid w:val="00D658EB"/>
    <w:rsid w:val="00D773F0"/>
    <w:rsid w:val="00D95291"/>
    <w:rsid w:val="00DA0EE9"/>
    <w:rsid w:val="00DA4042"/>
    <w:rsid w:val="00DB0E61"/>
    <w:rsid w:val="00DB4765"/>
    <w:rsid w:val="00DB49B0"/>
    <w:rsid w:val="00DB767D"/>
    <w:rsid w:val="00DC25A7"/>
    <w:rsid w:val="00DC271D"/>
    <w:rsid w:val="00DD1FC0"/>
    <w:rsid w:val="00DD3540"/>
    <w:rsid w:val="00DE0518"/>
    <w:rsid w:val="00DE2B7B"/>
    <w:rsid w:val="00DF3DB3"/>
    <w:rsid w:val="00DF7897"/>
    <w:rsid w:val="00E01D4A"/>
    <w:rsid w:val="00E120F3"/>
    <w:rsid w:val="00E133AC"/>
    <w:rsid w:val="00E137C6"/>
    <w:rsid w:val="00E2143E"/>
    <w:rsid w:val="00E22A31"/>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947"/>
    <w:rsid w:val="00E5330C"/>
    <w:rsid w:val="00E555D5"/>
    <w:rsid w:val="00E61AB7"/>
    <w:rsid w:val="00E73916"/>
    <w:rsid w:val="00E73BC7"/>
    <w:rsid w:val="00E73D7A"/>
    <w:rsid w:val="00E80BCB"/>
    <w:rsid w:val="00E80D7A"/>
    <w:rsid w:val="00E831AC"/>
    <w:rsid w:val="00E834B1"/>
    <w:rsid w:val="00E8722A"/>
    <w:rsid w:val="00E92EF0"/>
    <w:rsid w:val="00E956DA"/>
    <w:rsid w:val="00E97059"/>
    <w:rsid w:val="00EA2B2D"/>
    <w:rsid w:val="00EA3582"/>
    <w:rsid w:val="00EB0094"/>
    <w:rsid w:val="00EB2EA6"/>
    <w:rsid w:val="00EC4311"/>
    <w:rsid w:val="00EC6002"/>
    <w:rsid w:val="00ED0DA3"/>
    <w:rsid w:val="00ED3EF3"/>
    <w:rsid w:val="00EE1577"/>
    <w:rsid w:val="00EE1993"/>
    <w:rsid w:val="00EF1ED1"/>
    <w:rsid w:val="00F04E8C"/>
    <w:rsid w:val="00F0751D"/>
    <w:rsid w:val="00F113D3"/>
    <w:rsid w:val="00F17FEF"/>
    <w:rsid w:val="00F203F5"/>
    <w:rsid w:val="00F25657"/>
    <w:rsid w:val="00F278E1"/>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4162"/>
    <w:rsid w:val="00FB1C81"/>
    <w:rsid w:val="00FB415C"/>
    <w:rsid w:val="00FB4C43"/>
    <w:rsid w:val="00FC1ABD"/>
    <w:rsid w:val="00FC25F6"/>
    <w:rsid w:val="00FD0764"/>
    <w:rsid w:val="00FD5528"/>
    <w:rsid w:val="00FE2FF5"/>
    <w:rsid w:val="00FF0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DB70"/>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2E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u.gov.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1F15-4C55-42F5-A529-02C4895A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1807</Words>
  <Characters>10662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82</cp:revision>
  <cp:lastPrinted>2024-07-16T06:17:00Z</cp:lastPrinted>
  <dcterms:created xsi:type="dcterms:W3CDTF">2019-01-02T11:44:00Z</dcterms:created>
  <dcterms:modified xsi:type="dcterms:W3CDTF">2024-10-21T06:07:00Z</dcterms:modified>
</cp:coreProperties>
</file>